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6371" w:rsidRDefault="00A47DA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proofErr w:type="spellStart"/>
      <w:r>
        <w:rPr>
          <w:rFonts w:ascii="Arial" w:hAnsi="Arial" w:cs="Arial"/>
          <w:b/>
          <w:bCs/>
          <w:snapToGrid w:val="0"/>
          <w:kern w:val="0"/>
          <w:sz w:val="24"/>
        </w:rPr>
        <w:t>3GPP</w:t>
      </w:r>
      <w:proofErr w:type="spellEnd"/>
      <w:r>
        <w:rPr>
          <w:rFonts w:ascii="Arial" w:hAnsi="Arial" w:cs="Arial"/>
          <w:b/>
          <w:bCs/>
          <w:snapToGrid w:val="0"/>
          <w:kern w:val="0"/>
          <w:sz w:val="24"/>
        </w:rPr>
        <w:t xml:space="preserve"> TSG-RAN </w:t>
      </w:r>
      <w:proofErr w:type="spellStart"/>
      <w:r>
        <w:rPr>
          <w:rFonts w:ascii="Arial" w:hAnsi="Arial" w:cs="Arial"/>
          <w:b/>
          <w:bCs/>
          <w:snapToGrid w:val="0"/>
          <w:kern w:val="0"/>
          <w:sz w:val="24"/>
        </w:rPr>
        <w:t>WG2</w:t>
      </w:r>
      <w:proofErr w:type="spellEnd"/>
      <w:r>
        <w:rPr>
          <w:rFonts w:ascii="Arial" w:hAnsi="Arial" w:cs="Arial"/>
          <w:b/>
          <w:bCs/>
          <w:snapToGrid w:val="0"/>
          <w:kern w:val="0"/>
          <w:sz w:val="24"/>
        </w:rPr>
        <w:t xml:space="preserve"> Meeting</w:t>
      </w:r>
      <w:r>
        <w:rPr>
          <w:rFonts w:ascii="Arial" w:hAnsi="Arial" w:cs="Arial" w:hint="eastAsia"/>
          <w:b/>
          <w:bCs/>
          <w:snapToGrid w:val="0"/>
          <w:kern w:val="0"/>
          <w:sz w:val="24"/>
        </w:rPr>
        <w:t>#</w:t>
      </w:r>
      <w:r>
        <w:rPr>
          <w:rFonts w:ascii="Arial" w:hAnsi="Arial" w:cs="Arial"/>
          <w:b/>
          <w:bCs/>
          <w:snapToGrid w:val="0"/>
          <w:kern w:val="0"/>
          <w:sz w:val="24"/>
          <w:lang w:val="en-GB"/>
        </w:rPr>
        <w:t>121</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proofErr w:type="spellStart"/>
      <w:r>
        <w:rPr>
          <w:rFonts w:ascii="Arial" w:hAnsi="Arial" w:cs="Arial" w:hint="eastAsia"/>
          <w:b/>
          <w:bCs/>
          <w:snapToGrid w:val="0"/>
          <w:kern w:val="0"/>
          <w:sz w:val="24"/>
        </w:rPr>
        <w:t>R2</w:t>
      </w:r>
      <w:proofErr w:type="spellEnd"/>
      <w:r>
        <w:rPr>
          <w:rFonts w:ascii="Arial" w:hAnsi="Arial" w:cs="Arial" w:hint="eastAsia"/>
          <w:b/>
          <w:bCs/>
          <w:snapToGrid w:val="0"/>
          <w:kern w:val="0"/>
          <w:sz w:val="24"/>
        </w:rPr>
        <w:t>-23</w:t>
      </w:r>
      <w:r w:rsidR="004227CF">
        <w:rPr>
          <w:rFonts w:ascii="Arial" w:hAnsi="Arial" w:cs="Arial"/>
          <w:b/>
          <w:bCs/>
          <w:snapToGrid w:val="0"/>
          <w:kern w:val="0"/>
          <w:sz w:val="24"/>
        </w:rPr>
        <w:t>0</w:t>
      </w:r>
      <w:r w:rsidR="00A53F5D">
        <w:rPr>
          <w:rFonts w:ascii="Arial" w:hAnsi="Arial" w:cs="Arial"/>
          <w:b/>
          <w:bCs/>
          <w:snapToGrid w:val="0"/>
          <w:kern w:val="0"/>
          <w:sz w:val="24"/>
        </w:rPr>
        <w:t>1782</w:t>
      </w:r>
    </w:p>
    <w:p w:rsidR="00A16371" w:rsidRDefault="00A47DA9">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rPr>
        <w:t>Athens</w:t>
      </w:r>
      <w:r>
        <w:rPr>
          <w:rFonts w:ascii="Arial" w:hAnsi="Arial" w:cs="Arial" w:hint="eastAsia"/>
          <w:b/>
          <w:bCs/>
          <w:kern w:val="0"/>
          <w:sz w:val="24"/>
        </w:rPr>
        <w:t xml:space="preserve">, </w:t>
      </w:r>
      <w:r>
        <w:rPr>
          <w:rFonts w:ascii="Arial" w:hAnsi="Arial" w:cs="Arial"/>
          <w:b/>
          <w:bCs/>
          <w:kern w:val="0"/>
          <w:sz w:val="24"/>
        </w:rPr>
        <w:t xml:space="preserve">Greece, </w:t>
      </w:r>
      <w:r>
        <w:rPr>
          <w:rFonts w:ascii="Arial" w:eastAsia="宋体" w:hAnsi="Arial"/>
          <w:b/>
          <w:bCs/>
          <w:sz w:val="24"/>
        </w:rPr>
        <w:t>Feb</w:t>
      </w:r>
      <w:r>
        <w:rPr>
          <w:rFonts w:ascii="Arial" w:eastAsia="宋体" w:hAnsi="Arial"/>
          <w:b/>
          <w:bCs/>
          <w:sz w:val="24"/>
          <w:lang w:val="en-GB"/>
        </w:rPr>
        <w:t xml:space="preserve"> </w:t>
      </w:r>
      <w:r>
        <w:rPr>
          <w:rFonts w:ascii="Arial" w:eastAsia="宋体" w:hAnsi="Arial"/>
          <w:b/>
          <w:bCs/>
          <w:sz w:val="24"/>
        </w:rPr>
        <w:t>27</w:t>
      </w:r>
      <w:r>
        <w:rPr>
          <w:rFonts w:ascii="Arial" w:eastAsia="宋体" w:hAnsi="Arial"/>
          <w:b/>
          <w:bCs/>
          <w:sz w:val="24"/>
          <w:vertAlign w:val="superscript"/>
          <w:lang w:val="en-GB"/>
        </w:rPr>
        <w:t>t</w:t>
      </w:r>
      <w:r>
        <w:rPr>
          <w:rFonts w:ascii="Arial" w:eastAsia="宋体" w:hAnsi="Arial" w:hint="eastAsia"/>
          <w:b/>
          <w:bCs/>
          <w:sz w:val="24"/>
          <w:vertAlign w:val="superscript"/>
        </w:rPr>
        <w:t>h</w:t>
      </w:r>
      <w:r>
        <w:rPr>
          <w:rFonts w:ascii="Arial" w:eastAsia="宋体" w:hAnsi="Arial"/>
          <w:b/>
          <w:bCs/>
          <w:sz w:val="24"/>
          <w:lang w:val="en-GB"/>
        </w:rPr>
        <w:t xml:space="preserve"> – Mar </w:t>
      </w:r>
      <w:r>
        <w:rPr>
          <w:rFonts w:ascii="Arial" w:eastAsia="宋体" w:hAnsi="Arial"/>
          <w:b/>
          <w:bCs/>
          <w:sz w:val="24"/>
        </w:rPr>
        <w:t>3</w:t>
      </w:r>
      <w:r>
        <w:rPr>
          <w:rFonts w:ascii="Arial" w:eastAsia="宋体" w:hAnsi="Arial"/>
          <w:b/>
          <w:bCs/>
          <w:sz w:val="24"/>
          <w:vertAlign w:val="superscript"/>
        </w:rPr>
        <w:t>rd</w:t>
      </w:r>
      <w:r>
        <w:rPr>
          <w:rFonts w:ascii="Arial" w:eastAsia="宋体" w:hAnsi="Arial"/>
          <w:b/>
          <w:bCs/>
          <w:sz w:val="24"/>
          <w:lang w:val="en-GB"/>
        </w:rPr>
        <w:t>, 202</w:t>
      </w:r>
      <w:r>
        <w:rPr>
          <w:rFonts w:ascii="Arial" w:eastAsia="宋体" w:hAnsi="Arial" w:hint="eastAsia"/>
          <w:b/>
          <w:bCs/>
          <w:sz w:val="24"/>
        </w:rPr>
        <w:t>3</w:t>
      </w:r>
      <w:r>
        <w:rPr>
          <w:rFonts w:ascii="Arial" w:hAnsi="Arial" w:cs="Arial"/>
          <w:b/>
          <w:bCs/>
          <w:kern w:val="0"/>
          <w:sz w:val="24"/>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r>
        <w:rPr>
          <w:rFonts w:ascii="Arial" w:hAnsi="Arial" w:cs="Arial"/>
          <w:b/>
          <w:bCs/>
          <w:kern w:val="0"/>
          <w:sz w:val="24"/>
          <w:lang w:val="en-GB"/>
        </w:rPr>
        <w:t xml:space="preserve"> </w:t>
      </w:r>
    </w:p>
    <w:p w:rsidR="00A16371" w:rsidRDefault="00A47DA9" w:rsidP="00374875">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proofErr w:type="spellStart"/>
      <w:r>
        <w:rPr>
          <w:rFonts w:ascii="Arial" w:hAnsi="Arial" w:cs="Arial"/>
          <w:b/>
          <w:bCs/>
          <w:snapToGrid w:val="0"/>
          <w:kern w:val="0"/>
          <w:sz w:val="24"/>
        </w:rPr>
        <w:t>ZTE</w:t>
      </w:r>
      <w:proofErr w:type="spellEnd"/>
      <w:r>
        <w:rPr>
          <w:rFonts w:ascii="Arial" w:hAnsi="Arial" w:cs="Arial"/>
          <w:b/>
          <w:bCs/>
          <w:snapToGrid w:val="0"/>
          <w:kern w:val="0"/>
          <w:sz w:val="24"/>
        </w:rPr>
        <w:t xml:space="preserve"> Corporation</w:t>
      </w:r>
      <w:r>
        <w:rPr>
          <w:rFonts w:ascii="Arial" w:hAnsi="Arial" w:cs="Arial" w:hint="eastAsia"/>
          <w:b/>
          <w:bCs/>
          <w:snapToGrid w:val="0"/>
          <w:kern w:val="0"/>
          <w:sz w:val="24"/>
        </w:rPr>
        <w:t xml:space="preserve">, Nokia, Nokia Shanghai Bell, Samsung, </w:t>
      </w:r>
      <w:r w:rsidR="00374875">
        <w:rPr>
          <w:rFonts w:ascii="Arial" w:hAnsi="Arial" w:cs="Arial"/>
          <w:b/>
          <w:bCs/>
          <w:snapToGrid w:val="0"/>
          <w:kern w:val="0"/>
          <w:sz w:val="24"/>
        </w:rPr>
        <w:t xml:space="preserve">Qualcomm, </w:t>
      </w:r>
      <w:proofErr w:type="spellStart"/>
      <w:r>
        <w:rPr>
          <w:rFonts w:ascii="Arial" w:hAnsi="Arial" w:cs="Arial" w:hint="eastAsia"/>
          <w:b/>
          <w:bCs/>
          <w:snapToGrid w:val="0"/>
          <w:kern w:val="0"/>
          <w:sz w:val="24"/>
        </w:rPr>
        <w:t>OPPO</w:t>
      </w:r>
      <w:proofErr w:type="spellEnd"/>
      <w:r>
        <w:rPr>
          <w:rFonts w:ascii="Arial" w:hAnsi="Arial" w:cs="Arial" w:hint="eastAsia"/>
          <w:b/>
          <w:bCs/>
          <w:snapToGrid w:val="0"/>
          <w:kern w:val="0"/>
          <w:sz w:val="24"/>
        </w:rPr>
        <w:t>,</w:t>
      </w:r>
      <w:r w:rsidR="00374875">
        <w:rPr>
          <w:rFonts w:ascii="Arial" w:hAnsi="Arial" w:cs="Arial"/>
          <w:b/>
          <w:bCs/>
          <w:snapToGrid w:val="0"/>
          <w:kern w:val="0"/>
          <w:sz w:val="24"/>
        </w:rPr>
        <w:t xml:space="preserve"> </w:t>
      </w:r>
      <w:r>
        <w:rPr>
          <w:rFonts w:ascii="Arial" w:hAnsi="Arial" w:cs="Arial" w:hint="eastAsia"/>
          <w:b/>
          <w:bCs/>
          <w:snapToGrid w:val="0"/>
          <w:kern w:val="0"/>
          <w:sz w:val="24"/>
        </w:rPr>
        <w:t xml:space="preserve">vivo, Huawei, </w:t>
      </w:r>
      <w:proofErr w:type="spellStart"/>
      <w:r>
        <w:rPr>
          <w:rFonts w:ascii="Arial" w:hAnsi="Arial" w:cs="Arial" w:hint="eastAsia"/>
          <w:b/>
          <w:bCs/>
          <w:snapToGrid w:val="0"/>
          <w:kern w:val="0"/>
          <w:sz w:val="24"/>
        </w:rPr>
        <w:t>HiSilicon</w:t>
      </w:r>
      <w:proofErr w:type="spellEnd"/>
      <w:r>
        <w:rPr>
          <w:rFonts w:ascii="Arial" w:hAnsi="Arial" w:cs="Arial" w:hint="eastAsia"/>
          <w:b/>
          <w:bCs/>
          <w:snapToGrid w:val="0"/>
          <w:kern w:val="0"/>
          <w:sz w:val="24"/>
        </w:rPr>
        <w:t xml:space="preserve">, CATT, </w:t>
      </w:r>
      <w:proofErr w:type="spellStart"/>
      <w:r>
        <w:rPr>
          <w:rFonts w:ascii="Arial" w:hAnsi="Arial" w:cs="Arial" w:hint="eastAsia"/>
          <w:b/>
          <w:bCs/>
          <w:snapToGrid w:val="0"/>
          <w:kern w:val="0"/>
          <w:sz w:val="24"/>
        </w:rPr>
        <w:t>Sanechips</w:t>
      </w:r>
      <w:proofErr w:type="spellEnd"/>
    </w:p>
    <w:p w:rsidR="00A16371" w:rsidRDefault="00A47DA9">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Reconsiderations on CG Type 1 Resources Calculation</w:t>
      </w:r>
      <w:r>
        <w:rPr>
          <w:rFonts w:ascii="Arial" w:hAnsi="Arial" w:cs="Arial" w:hint="eastAsia"/>
          <w:b/>
          <w:bCs/>
          <w:snapToGrid w:val="0"/>
          <w:kern w:val="0"/>
          <w:sz w:val="24"/>
        </w:rPr>
        <w:t xml:space="preserve"> at BWP Switch</w:t>
      </w:r>
    </w:p>
    <w:p w:rsidR="00A16371" w:rsidRDefault="00A47DA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5.1.2</w:t>
      </w:r>
    </w:p>
    <w:p w:rsidR="00A16371" w:rsidRDefault="00A47DA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A16371" w:rsidRDefault="00A47DA9">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A16371" w:rsidRDefault="00A47DA9">
      <w:r>
        <w:t xml:space="preserve">In the UP discussion of </w:t>
      </w:r>
      <w:proofErr w:type="spellStart"/>
      <w:r>
        <w:t>RAN2#120</w:t>
      </w:r>
      <w:proofErr w:type="spellEnd"/>
      <w:r>
        <w:t xml:space="preserve"> Meeting, there is one issue about CG type 1 resources calculation has been raised and achieve the conclusion shown as below:</w:t>
      </w:r>
    </w:p>
    <w:p w:rsidR="00A16371" w:rsidRDefault="00DA43F9">
      <w:pPr>
        <w:pStyle w:val="Doc-title"/>
      </w:pPr>
      <w:hyperlink r:id="rId9" w:history="1">
        <w:proofErr w:type="spellStart"/>
        <w:r w:rsidR="00A47DA9">
          <w:rPr>
            <w:rStyle w:val="aff6"/>
          </w:rPr>
          <w:t>R2</w:t>
        </w:r>
        <w:proofErr w:type="spellEnd"/>
        <w:r w:rsidR="00A47DA9">
          <w:rPr>
            <w:rStyle w:val="aff6"/>
          </w:rPr>
          <w:t>-2212860</w:t>
        </w:r>
      </w:hyperlink>
      <w:r w:rsidR="00A47DA9">
        <w:tab/>
        <w:t>Correction on Type 1 CG occasion determination at BWP activation</w:t>
      </w:r>
      <w:r w:rsidR="00A47DA9">
        <w:tab/>
        <w:t>Samsung</w:t>
      </w:r>
      <w:r w:rsidR="00A47DA9">
        <w:tab/>
        <w:t>CR</w:t>
      </w:r>
      <w:r w:rsidR="00A47DA9">
        <w:tab/>
      </w:r>
      <w:proofErr w:type="spellStart"/>
      <w:r w:rsidR="00A47DA9">
        <w:t>Rel</w:t>
      </w:r>
      <w:proofErr w:type="spellEnd"/>
      <w:r w:rsidR="00A47DA9">
        <w:t>-16</w:t>
      </w:r>
      <w:r w:rsidR="00A47DA9">
        <w:tab/>
        <w:t>38.321</w:t>
      </w:r>
      <w:r w:rsidR="00A47DA9">
        <w:tab/>
        <w:t>16.10.0</w:t>
      </w:r>
      <w:r w:rsidR="00A47DA9">
        <w:tab/>
        <w:t>1496</w:t>
      </w:r>
      <w:r w:rsidR="00A47DA9">
        <w:tab/>
        <w:t>-</w:t>
      </w:r>
      <w:r w:rsidR="00A47DA9">
        <w:tab/>
        <w:t>F</w:t>
      </w:r>
      <w:r w:rsidR="00A47DA9">
        <w:tab/>
      </w:r>
      <w:proofErr w:type="spellStart"/>
      <w:r w:rsidR="00A47DA9">
        <w:t>NR_IIOT</w:t>
      </w:r>
      <w:proofErr w:type="spellEnd"/>
      <w:r w:rsidR="00A47DA9">
        <w:t xml:space="preserve">-Core, </w:t>
      </w:r>
      <w:proofErr w:type="spellStart"/>
      <w:r w:rsidR="00A47DA9">
        <w:t>5G_V2X_NRSL</w:t>
      </w:r>
      <w:proofErr w:type="spellEnd"/>
      <w:r w:rsidR="00A47DA9">
        <w:t>-Core</w:t>
      </w:r>
    </w:p>
    <w:p w:rsidR="00A16371" w:rsidRDefault="00A47DA9">
      <w:pPr>
        <w:pStyle w:val="Doc-text2"/>
      </w:pPr>
      <w:r>
        <w:t>-</w:t>
      </w:r>
      <w:r>
        <w:tab/>
        <w:t xml:space="preserve">Qualcomm thinks that this in NBC and we should leave it as is, be we can discuss for </w:t>
      </w:r>
      <w:proofErr w:type="spellStart"/>
      <w:r>
        <w:t>Rel</w:t>
      </w:r>
      <w:proofErr w:type="spellEnd"/>
      <w:r>
        <w:t xml:space="preserve">-18, but resume is not the right way. </w:t>
      </w:r>
    </w:p>
    <w:p w:rsidR="00A16371" w:rsidRDefault="00A47DA9">
      <w:pPr>
        <w:pStyle w:val="Doc-text2"/>
      </w:pPr>
      <w:r>
        <w:t>-</w:t>
      </w:r>
      <w:r>
        <w:tab/>
        <w:t xml:space="preserve">Nokia agrees with Qualcomm that it is NBC and if we do it actually has to be done from </w:t>
      </w:r>
      <w:proofErr w:type="spellStart"/>
      <w:r>
        <w:t>Rel</w:t>
      </w:r>
      <w:proofErr w:type="spellEnd"/>
      <w:r>
        <w:t xml:space="preserve">-16 to have same behaviour and it is not essential.  Ericsson has the same understanding and it is a </w:t>
      </w:r>
      <w:proofErr w:type="spellStart"/>
      <w:r>
        <w:t>conrner</w:t>
      </w:r>
      <w:proofErr w:type="spellEnd"/>
      <w:r>
        <w:t xml:space="preserve"> case and it will still be ambiguous from the network side.  Lenovo and </w:t>
      </w:r>
      <w:proofErr w:type="spellStart"/>
      <w:r>
        <w:t>ZTE</w:t>
      </w:r>
      <w:proofErr w:type="spellEnd"/>
      <w:r>
        <w:t xml:space="preserve"> agree.</w:t>
      </w:r>
    </w:p>
    <w:p w:rsidR="00A16371" w:rsidRDefault="00A47DA9">
      <w:pPr>
        <w:pStyle w:val="Doc-text2"/>
      </w:pPr>
      <w:r>
        <w:t>-</w:t>
      </w:r>
      <w:r>
        <w:tab/>
        <w:t>Apple thinks it is not needed and it is a burden for UE to keep the history.</w:t>
      </w:r>
    </w:p>
    <w:p w:rsidR="00A16371" w:rsidRDefault="00A47DA9">
      <w:pPr>
        <w:pStyle w:val="Doc-text2"/>
      </w:pPr>
      <w:r>
        <w:t>-</w:t>
      </w:r>
      <w:r>
        <w:tab/>
      </w:r>
      <w:proofErr w:type="spellStart"/>
      <w:r>
        <w:t>ZTE</w:t>
      </w:r>
      <w:proofErr w:type="spellEnd"/>
      <w:r>
        <w:t xml:space="preserve"> explains that the UE will re-calculate the occasions, even if the periodicity is the same.  If we change it there will be ambiguity.  </w:t>
      </w:r>
    </w:p>
    <w:p w:rsidR="00A16371" w:rsidRDefault="00A47DA9">
      <w:pPr>
        <w:pStyle w:val="Doc-text2"/>
      </w:pPr>
      <w:r>
        <w:rPr>
          <w:highlight w:val="yellow"/>
        </w:rPr>
        <w:t>=&gt;</w:t>
      </w:r>
      <w:r>
        <w:rPr>
          <w:highlight w:val="yellow"/>
        </w:rPr>
        <w:tab/>
      </w:r>
      <w:proofErr w:type="spellStart"/>
      <w:r>
        <w:rPr>
          <w:highlight w:val="yellow"/>
        </w:rPr>
        <w:t>RAN2</w:t>
      </w:r>
      <w:proofErr w:type="spellEnd"/>
      <w:r>
        <w:rPr>
          <w:highlight w:val="yellow"/>
        </w:rPr>
        <w:t xml:space="preserve"> understanding is that the UE re-calculates the CG occasion and not CR needed</w:t>
      </w:r>
      <w:r>
        <w:t xml:space="preserve"> </w:t>
      </w:r>
    </w:p>
    <w:p w:rsidR="00A16371" w:rsidRDefault="00A47DA9">
      <w:pPr>
        <w:pStyle w:val="Doc-text2"/>
      </w:pPr>
      <w:r>
        <w:t>=&gt;</w:t>
      </w:r>
      <w:r>
        <w:tab/>
        <w:t xml:space="preserve">The CR is not pursued </w:t>
      </w:r>
    </w:p>
    <w:p w:rsidR="00A16371" w:rsidRDefault="00A47DA9">
      <w:pPr>
        <w:rPr>
          <w:lang w:val="en-GB"/>
        </w:rPr>
      </w:pPr>
      <w:r>
        <w:rPr>
          <w:rFonts w:hint="eastAsia"/>
          <w:lang w:val="en-GB"/>
        </w:rPr>
        <w:t>A</w:t>
      </w:r>
      <w:r>
        <w:rPr>
          <w:lang w:val="en-GB"/>
        </w:rPr>
        <w:t xml:space="preserve">bove issue is to clarify what UE should do for Type 1 CG occasion calculation in the case of the associated BWP is deactivated and then activated in a while. And at </w:t>
      </w:r>
      <w:r>
        <w:rPr>
          <w:rFonts w:hint="eastAsia"/>
        </w:rPr>
        <w:t>that</w:t>
      </w:r>
      <w:r>
        <w:rPr>
          <w:lang w:val="en-GB"/>
        </w:rPr>
        <w:t xml:space="preserve"> round of the discussion , </w:t>
      </w:r>
      <w:proofErr w:type="spellStart"/>
      <w:r>
        <w:rPr>
          <w:lang w:val="en-GB"/>
        </w:rPr>
        <w:t>RAN2</w:t>
      </w:r>
      <w:proofErr w:type="spellEnd"/>
      <w:r>
        <w:rPr>
          <w:lang w:val="en-GB"/>
        </w:rPr>
        <w:t xml:space="preserve"> think the UE shall re-calculate the CG occasion without any CR needed.</w:t>
      </w:r>
    </w:p>
    <w:p w:rsidR="00A16371" w:rsidRDefault="00A47DA9">
      <w:pPr>
        <w:rPr>
          <w:lang w:val="en-GB"/>
        </w:rPr>
      </w:pPr>
      <w:r>
        <w:rPr>
          <w:lang w:val="en-GB"/>
        </w:rPr>
        <w:t>However, the same issue ha</w:t>
      </w:r>
      <w:r>
        <w:rPr>
          <w:rFonts w:hint="eastAsia"/>
        </w:rPr>
        <w:t>d</w:t>
      </w:r>
      <w:r>
        <w:rPr>
          <w:lang w:val="en-GB"/>
        </w:rPr>
        <w:t xml:space="preserve"> been discussed in </w:t>
      </w:r>
      <w:proofErr w:type="spellStart"/>
      <w:r>
        <w:rPr>
          <w:lang w:val="en-GB"/>
        </w:rPr>
        <w:t>RAN2#110</w:t>
      </w:r>
      <w:proofErr w:type="spellEnd"/>
      <w:r>
        <w:rPr>
          <w:lang w:val="en-GB"/>
        </w:rPr>
        <w:t xml:space="preserve"> </w:t>
      </w:r>
      <w:proofErr w:type="spellStart"/>
      <w:r>
        <w:rPr>
          <w:lang w:val="en-GB"/>
        </w:rPr>
        <w:t>emeeting</w:t>
      </w:r>
      <w:proofErr w:type="spellEnd"/>
      <w:r>
        <w:rPr>
          <w:lang w:val="en-GB"/>
        </w:rPr>
        <w:t xml:space="preserve"> for NR 16 </w:t>
      </w:r>
      <w:proofErr w:type="spellStart"/>
      <w:r>
        <w:rPr>
          <w:lang w:val="en-GB"/>
        </w:rPr>
        <w:t>IIOT</w:t>
      </w:r>
      <w:proofErr w:type="spellEnd"/>
      <w:r>
        <w:rPr>
          <w:lang w:val="en-GB"/>
        </w:rPr>
        <w:t xml:space="preserve"> [1], and at that round of the discussion, the achieved agreement for the same issue </w:t>
      </w:r>
      <w:r>
        <w:rPr>
          <w:rFonts w:hint="eastAsia"/>
        </w:rPr>
        <w:t>was</w:t>
      </w:r>
      <w:r>
        <w:rPr>
          <w:lang w:val="en-GB"/>
        </w:rPr>
        <w:t xml:space="preserve"> totally opposite:</w:t>
      </w:r>
    </w:p>
    <w:tbl>
      <w:tblPr>
        <w:tblStyle w:val="aff0"/>
        <w:tblW w:w="0" w:type="auto"/>
        <w:tblLook w:val="04A0" w:firstRow="1" w:lastRow="0" w:firstColumn="1" w:lastColumn="0" w:noHBand="0" w:noVBand="1"/>
      </w:tblPr>
      <w:tblGrid>
        <w:gridCol w:w="9771"/>
      </w:tblGrid>
      <w:tr w:rsidR="00A16371">
        <w:tc>
          <w:tcPr>
            <w:tcW w:w="9771" w:type="dxa"/>
          </w:tcPr>
          <w:p w:rsidR="00A16371" w:rsidRDefault="00A47DA9">
            <w:pPr>
              <w:widowControl/>
              <w:shd w:val="clear" w:color="auto" w:fill="FFFFFF"/>
              <w:spacing w:after="0" w:line="240" w:lineRule="auto"/>
              <w:ind w:left="360"/>
              <w:jc w:val="left"/>
              <w:rPr>
                <w:rFonts w:ascii="Arial" w:eastAsia="宋体" w:hAnsi="Arial" w:cs="Arial"/>
                <w:color w:val="000000"/>
                <w:kern w:val="0"/>
                <w:szCs w:val="21"/>
              </w:rPr>
            </w:pPr>
            <w:r>
              <w:rPr>
                <w:rFonts w:ascii="Arial" w:eastAsia="宋体" w:hAnsi="Arial" w:cs="Arial"/>
                <w:color w:val="000000"/>
                <w:kern w:val="0"/>
                <w:szCs w:val="21"/>
              </w:rPr>
              <w:t>Email [055] by-email Agreements (</w:t>
            </w:r>
            <w:proofErr w:type="spellStart"/>
            <w:r>
              <w:rPr>
                <w:rFonts w:ascii="Arial" w:eastAsia="宋体" w:hAnsi="Arial" w:cs="Arial"/>
                <w:color w:val="000000"/>
                <w:kern w:val="0"/>
                <w:szCs w:val="21"/>
              </w:rPr>
              <w:t>R2</w:t>
            </w:r>
            <w:proofErr w:type="spellEnd"/>
            <w:r>
              <w:rPr>
                <w:rFonts w:ascii="Arial" w:eastAsia="宋体" w:hAnsi="Arial" w:cs="Arial"/>
                <w:color w:val="000000"/>
                <w:kern w:val="0"/>
                <w:szCs w:val="21"/>
              </w:rPr>
              <w:t>-2006243)</w:t>
            </w:r>
          </w:p>
          <w:p w:rsidR="00A16371" w:rsidRDefault="00A47DA9">
            <w:pPr>
              <w:widowControl/>
              <w:shd w:val="clear" w:color="auto" w:fill="FFFFFF"/>
              <w:spacing w:after="0" w:line="240" w:lineRule="auto"/>
              <w:ind w:left="360"/>
              <w:jc w:val="left"/>
              <w:rPr>
                <w:rFonts w:ascii="Arial" w:eastAsia="宋体" w:hAnsi="Arial" w:cs="Arial"/>
                <w:color w:val="000000"/>
                <w:kern w:val="0"/>
                <w:szCs w:val="21"/>
              </w:rPr>
            </w:pPr>
            <w:r>
              <w:rPr>
                <w:rFonts w:ascii="Symbol" w:eastAsia="宋体" w:hAnsi="Symbol" w:cs="Arial"/>
                <w:color w:val="000000"/>
                <w:kern w:val="0"/>
                <w:sz w:val="23"/>
                <w:szCs w:val="23"/>
                <w:shd w:val="clear" w:color="auto" w:fill="FFFF00"/>
              </w:rPr>
              <w:t></w:t>
            </w:r>
            <w:r>
              <w:rPr>
                <w:rFonts w:eastAsia="宋体"/>
                <w:color w:val="000000"/>
                <w:kern w:val="0"/>
                <w:sz w:val="14"/>
                <w:szCs w:val="14"/>
                <w:shd w:val="clear" w:color="auto" w:fill="FFFF00"/>
              </w:rPr>
              <w:t>    </w:t>
            </w:r>
            <w:r>
              <w:rPr>
                <w:rFonts w:ascii="Arial" w:eastAsia="宋体" w:hAnsi="Arial" w:cs="Arial"/>
                <w:color w:val="000000"/>
                <w:kern w:val="0"/>
                <w:szCs w:val="21"/>
                <w:shd w:val="clear" w:color="auto" w:fill="FFFF00"/>
              </w:rPr>
              <w:t>UE continues to use the occasion of the suspended configured grant type 1 when the related UL BWP is activated.</w:t>
            </w:r>
          </w:p>
          <w:p w:rsidR="00A16371" w:rsidRDefault="00A47DA9">
            <w:pPr>
              <w:widowControl/>
              <w:shd w:val="clear" w:color="auto" w:fill="FFFFFF"/>
              <w:spacing w:after="0" w:line="240" w:lineRule="auto"/>
              <w:ind w:left="360"/>
              <w:jc w:val="left"/>
              <w:rPr>
                <w:rFonts w:ascii="Arial" w:eastAsia="宋体" w:hAnsi="Arial" w:cs="Arial"/>
                <w:color w:val="000000"/>
                <w:kern w:val="0"/>
                <w:szCs w:val="21"/>
              </w:rPr>
            </w:pPr>
            <w:r>
              <w:rPr>
                <w:rFonts w:ascii="Symbol" w:eastAsia="宋体" w:hAnsi="Symbol" w:cs="Arial"/>
                <w:color w:val="000000"/>
                <w:kern w:val="0"/>
                <w:sz w:val="23"/>
                <w:szCs w:val="23"/>
              </w:rPr>
              <w:lastRenderedPageBreak/>
              <w:t></w:t>
            </w:r>
            <w:r>
              <w:rPr>
                <w:rFonts w:eastAsia="宋体"/>
                <w:color w:val="000000"/>
                <w:kern w:val="0"/>
                <w:sz w:val="14"/>
                <w:szCs w:val="14"/>
              </w:rPr>
              <w:t>    </w:t>
            </w:r>
            <w:r>
              <w:rPr>
                <w:rFonts w:ascii="Arial" w:eastAsia="宋体" w:hAnsi="Arial" w:cs="Arial"/>
                <w:color w:val="000000"/>
                <w:kern w:val="0"/>
                <w:szCs w:val="21"/>
              </w:rPr>
              <w:t>A de-prioritized SR shall be excluded in prioritization. TP proposed by Fujitsu/Huawei/vivo/</w:t>
            </w:r>
            <w:proofErr w:type="spellStart"/>
            <w:r>
              <w:rPr>
                <w:rFonts w:ascii="Arial" w:eastAsia="宋体" w:hAnsi="Arial" w:cs="Arial"/>
                <w:color w:val="000000"/>
                <w:kern w:val="0"/>
                <w:szCs w:val="21"/>
              </w:rPr>
              <w:t>OPPO</w:t>
            </w:r>
            <w:proofErr w:type="spellEnd"/>
            <w:r>
              <w:rPr>
                <w:rFonts w:ascii="Arial" w:eastAsia="宋体" w:hAnsi="Arial" w:cs="Arial"/>
                <w:color w:val="000000"/>
                <w:kern w:val="0"/>
                <w:szCs w:val="21"/>
              </w:rPr>
              <w:t>/Nokia can be a baseline.</w:t>
            </w:r>
          </w:p>
          <w:p w:rsidR="00A16371" w:rsidRDefault="00A47DA9">
            <w:pPr>
              <w:widowControl/>
              <w:shd w:val="clear" w:color="auto" w:fill="FFFFFF"/>
              <w:spacing w:after="0" w:line="240" w:lineRule="auto"/>
              <w:ind w:left="360"/>
              <w:jc w:val="left"/>
              <w:rPr>
                <w:rFonts w:ascii="Arial" w:eastAsia="宋体" w:hAnsi="Arial" w:cs="Arial"/>
                <w:color w:val="000000"/>
                <w:kern w:val="0"/>
                <w:szCs w:val="21"/>
              </w:rPr>
            </w:pPr>
            <w:r>
              <w:rPr>
                <w:rFonts w:ascii="Symbol" w:eastAsia="宋体" w:hAnsi="Symbol" w:cs="Arial"/>
                <w:color w:val="000000"/>
                <w:kern w:val="0"/>
                <w:sz w:val="23"/>
                <w:szCs w:val="23"/>
              </w:rPr>
              <w:t></w:t>
            </w:r>
            <w:r>
              <w:rPr>
                <w:rFonts w:eastAsia="宋体"/>
                <w:color w:val="000000"/>
                <w:kern w:val="0"/>
                <w:sz w:val="14"/>
                <w:szCs w:val="14"/>
              </w:rPr>
              <w:t>    </w:t>
            </w:r>
            <w:r>
              <w:rPr>
                <w:rFonts w:ascii="Arial" w:eastAsia="宋体" w:hAnsi="Arial" w:cs="Arial"/>
                <w:color w:val="000000"/>
                <w:kern w:val="0"/>
                <w:szCs w:val="21"/>
              </w:rPr>
              <w:t xml:space="preserve">For closest N determination, TP in </w:t>
            </w:r>
            <w:proofErr w:type="spellStart"/>
            <w:r>
              <w:rPr>
                <w:rFonts w:ascii="Arial" w:eastAsia="宋体" w:hAnsi="Arial" w:cs="Arial"/>
                <w:color w:val="000000"/>
                <w:kern w:val="0"/>
                <w:szCs w:val="21"/>
              </w:rPr>
              <w:t>R2</w:t>
            </w:r>
            <w:proofErr w:type="spellEnd"/>
            <w:r>
              <w:rPr>
                <w:rFonts w:ascii="Arial" w:eastAsia="宋体" w:hAnsi="Arial" w:cs="Arial"/>
                <w:color w:val="000000"/>
                <w:kern w:val="0"/>
                <w:szCs w:val="21"/>
              </w:rPr>
              <w:t>-2003586 is adopted.</w:t>
            </w:r>
          </w:p>
          <w:p w:rsidR="00A16371" w:rsidRDefault="00A47DA9">
            <w:r>
              <w:rPr>
                <w:rFonts w:hint="eastAsia"/>
              </w:rPr>
              <w:t>/</w:t>
            </w:r>
            <w:r>
              <w:t>*omit for short*/</w:t>
            </w:r>
          </w:p>
        </w:tc>
      </w:tr>
    </w:tbl>
    <w:p w:rsidR="00A16371" w:rsidRDefault="00A47DA9">
      <w:r>
        <w:lastRenderedPageBreak/>
        <w:t>Compare between two conclusions, the later one is really confusing so that the early one would be considered as reversed. So the intention of this contribution is to clarify the correct UE behavior of calculating the type 1 CG occasion at BWP activation.</w:t>
      </w:r>
    </w:p>
    <w:p w:rsidR="00A16371" w:rsidRDefault="00A47DA9">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rPr>
      </w:pPr>
      <w:r>
        <w:rPr>
          <w:rFonts w:ascii="Arial" w:hAnsi="Arial" w:cs="Arial"/>
          <w:b w:val="0"/>
          <w:bCs w:val="0"/>
          <w:kern w:val="0"/>
          <w:sz w:val="32"/>
          <w:szCs w:val="36"/>
        </w:rPr>
        <w:t>Discussion</w:t>
      </w:r>
      <w:bookmarkStart w:id="2" w:name="_Toc12718547"/>
    </w:p>
    <w:p w:rsidR="00A16371" w:rsidRDefault="00A47DA9">
      <w:r>
        <w:t xml:space="preserve">In Rel-16, an information element </w:t>
      </w:r>
      <w:proofErr w:type="spellStart"/>
      <w:r>
        <w:rPr>
          <w:i/>
        </w:rPr>
        <w:t>referenceSFNnumber</w:t>
      </w:r>
      <w:proofErr w:type="spellEnd"/>
      <w:r>
        <w:rPr>
          <w:i/>
        </w:rPr>
        <w:t xml:space="preserve"> </w:t>
      </w:r>
      <w:r>
        <w:t xml:space="preserve">is introduced which is used for determining the start point when UE receiving the configured grant configuration around the </w:t>
      </w:r>
      <w:proofErr w:type="spellStart"/>
      <w:r>
        <w:t>HFN</w:t>
      </w:r>
      <w:proofErr w:type="spellEnd"/>
      <w:r>
        <w:t xml:space="preserve"> </w:t>
      </w:r>
      <w:proofErr w:type="spellStart"/>
      <w:r>
        <w:t>bundary</w:t>
      </w:r>
      <w:proofErr w:type="spellEnd"/>
      <w:r>
        <w:t xml:space="preserve">. The root reason why introducing such information element is the periodicity of the configured grant is extended in Rel-16, and as a result, the CG occasion is no longer a fixed position in each </w:t>
      </w:r>
      <w:proofErr w:type="spellStart"/>
      <w:r>
        <w:t>HFN</w:t>
      </w:r>
      <w:proofErr w:type="spellEnd"/>
      <w:r>
        <w:t xml:space="preserve">. </w:t>
      </w:r>
    </w:p>
    <w:p w:rsidR="00A16371" w:rsidRDefault="00A47DA9">
      <w:pPr>
        <w:keepNext/>
        <w:keepLines/>
        <w:spacing w:after="0"/>
        <w:rPr>
          <w:rFonts w:ascii="Arial" w:eastAsia="MS Mincho" w:hAnsi="Arial"/>
          <w:b/>
          <w:bCs/>
          <w:i/>
          <w:iCs/>
          <w:kern w:val="0"/>
          <w:sz w:val="18"/>
          <w:szCs w:val="18"/>
        </w:rPr>
      </w:pPr>
      <w:proofErr w:type="spellStart"/>
      <w:r>
        <w:rPr>
          <w:rFonts w:ascii="Arial" w:eastAsia="MS Mincho" w:hAnsi="Arial"/>
          <w:b/>
          <w:bCs/>
          <w:i/>
          <w:iCs/>
          <w:sz w:val="18"/>
          <w:szCs w:val="18"/>
        </w:rPr>
        <w:t>timeReferenceSFN</w:t>
      </w:r>
      <w:proofErr w:type="spellEnd"/>
    </w:p>
    <w:p w:rsidR="00A16371" w:rsidRDefault="00A47DA9">
      <w:pPr>
        <w:rPr>
          <w:rFonts w:eastAsia="宋体"/>
          <w:sz w:val="24"/>
        </w:rPr>
      </w:pPr>
      <w:r>
        <w:rPr>
          <w:rFonts w:ascii="Arial" w:eastAsia="MS Mincho" w:hAnsi="Arial"/>
          <w:sz w:val="18"/>
          <w:szCs w:val="18"/>
        </w:rPr>
        <w:t xml:space="preserve">Indicates </w:t>
      </w:r>
      <w:proofErr w:type="spellStart"/>
      <w:r>
        <w:rPr>
          <w:rFonts w:ascii="Arial" w:eastAsia="MS Mincho" w:hAnsi="Arial"/>
          <w:sz w:val="18"/>
          <w:szCs w:val="18"/>
        </w:rPr>
        <w:t>SFN</w:t>
      </w:r>
      <w:proofErr w:type="spellEnd"/>
      <w:r>
        <w:rPr>
          <w:rFonts w:ascii="Arial" w:eastAsia="MS Mincho" w:hAnsi="Arial"/>
          <w:sz w:val="18"/>
          <w:szCs w:val="18"/>
        </w:rPr>
        <w:t xml:space="preserve"> used for determination of the offset of a resource in time domain. </w:t>
      </w:r>
      <w:r>
        <w:rPr>
          <w:rFonts w:ascii="Arial" w:eastAsia="MS Mincho" w:hAnsi="Arial"/>
          <w:sz w:val="18"/>
          <w:szCs w:val="18"/>
          <w:highlight w:val="yellow"/>
        </w:rPr>
        <w:t xml:space="preserve">The UE uses the closest </w:t>
      </w:r>
      <w:proofErr w:type="spellStart"/>
      <w:r>
        <w:rPr>
          <w:rFonts w:ascii="Arial" w:eastAsia="MS Mincho" w:hAnsi="Arial"/>
          <w:sz w:val="18"/>
          <w:szCs w:val="18"/>
          <w:highlight w:val="yellow"/>
        </w:rPr>
        <w:t>SFN</w:t>
      </w:r>
      <w:proofErr w:type="spellEnd"/>
      <w:r>
        <w:rPr>
          <w:rFonts w:ascii="Arial" w:eastAsia="MS Mincho" w:hAnsi="Arial"/>
          <w:sz w:val="18"/>
          <w:szCs w:val="18"/>
          <w:highlight w:val="yellow"/>
        </w:rPr>
        <w:t xml:space="preserve"> with the indicated number preceding the reception of the configured grant configuration, see TS 38.321 [3], clause 5.8.2.</w:t>
      </w:r>
      <w:r>
        <w:rPr>
          <w:rFonts w:ascii="Arial" w:eastAsia="MS Mincho" w:hAnsi="Arial"/>
          <w:sz w:val="18"/>
          <w:szCs w:val="18"/>
        </w:rPr>
        <w:t xml:space="preserve"> </w:t>
      </w:r>
      <w:r>
        <w:rPr>
          <w:rFonts w:ascii="Arial" w:eastAsia="Times New Roman" w:hAnsi="Arial" w:cs="Arial"/>
          <w:sz w:val="18"/>
          <w:szCs w:val="18"/>
        </w:rPr>
        <w:t xml:space="preserve">If the field </w:t>
      </w:r>
      <w:proofErr w:type="spellStart"/>
      <w:r>
        <w:rPr>
          <w:rFonts w:ascii="Arial" w:eastAsia="Times New Roman" w:hAnsi="Arial" w:cs="Arial"/>
          <w:i/>
          <w:iCs/>
          <w:sz w:val="18"/>
          <w:szCs w:val="18"/>
        </w:rPr>
        <w:t>timeReferenceSFN</w:t>
      </w:r>
      <w:proofErr w:type="spellEnd"/>
      <w:r>
        <w:rPr>
          <w:rFonts w:ascii="Arial" w:eastAsia="Times New Roman" w:hAnsi="Arial" w:cs="Arial"/>
          <w:i/>
          <w:iCs/>
          <w:sz w:val="18"/>
          <w:szCs w:val="18"/>
        </w:rPr>
        <w:t xml:space="preserve"> </w:t>
      </w:r>
      <w:r>
        <w:rPr>
          <w:rFonts w:ascii="Arial" w:eastAsia="Times New Roman" w:hAnsi="Arial" w:cs="Arial"/>
          <w:sz w:val="18"/>
          <w:szCs w:val="18"/>
        </w:rPr>
        <w:t xml:space="preserve">is not present, the reference </w:t>
      </w:r>
      <w:proofErr w:type="spellStart"/>
      <w:r>
        <w:rPr>
          <w:rFonts w:ascii="Arial" w:eastAsia="Times New Roman" w:hAnsi="Arial" w:cs="Arial"/>
          <w:sz w:val="18"/>
          <w:szCs w:val="18"/>
        </w:rPr>
        <w:t>SFN</w:t>
      </w:r>
      <w:proofErr w:type="spellEnd"/>
      <w:r>
        <w:rPr>
          <w:rFonts w:ascii="Arial" w:eastAsia="Times New Roman" w:hAnsi="Arial" w:cs="Arial"/>
          <w:sz w:val="18"/>
          <w:szCs w:val="18"/>
        </w:rPr>
        <w:t xml:space="preserve"> is 0.</w:t>
      </w:r>
    </w:p>
    <w:p w:rsidR="00A16371" w:rsidRDefault="00A47DA9">
      <w:r>
        <w:t>The UE may automatically switch BWP due to some kind of reason (e.g. RACH), NW have no idea about the actual timing</w:t>
      </w:r>
      <w:r>
        <w:rPr>
          <w:rFonts w:hint="eastAsia"/>
        </w:rPr>
        <w:t xml:space="preserve"> when</w:t>
      </w:r>
      <w:r>
        <w:t xml:space="preserve"> the UE switch into a BWP, especially UE may perform several rounds of the RACH in the new BWP. Assuming UE re-calculat</w:t>
      </w:r>
      <w:r>
        <w:rPr>
          <w:rFonts w:hint="eastAsia"/>
        </w:rPr>
        <w:t>e</w:t>
      </w:r>
      <w:r>
        <w:t xml:space="preserve"> the CG occasion based on the </w:t>
      </w:r>
      <w:proofErr w:type="spellStart"/>
      <w:r>
        <w:t>SFN</w:t>
      </w:r>
      <w:proofErr w:type="spellEnd"/>
      <w:r>
        <w:t xml:space="preserve"> when a BWP is activated, UE and NW may have a different understandings on the </w:t>
      </w:r>
      <w:proofErr w:type="spellStart"/>
      <w:r>
        <w:t>HFN</w:t>
      </w:r>
      <w:proofErr w:type="spellEnd"/>
      <w:r>
        <w:t xml:space="preserve"> where the indicated </w:t>
      </w:r>
      <w:proofErr w:type="spellStart"/>
      <w:r>
        <w:t>SFN</w:t>
      </w:r>
      <w:proofErr w:type="spellEnd"/>
      <w:r>
        <w:t xml:space="preserve"> number is located, for example, UE may consider the (</w:t>
      </w:r>
      <w:proofErr w:type="spellStart"/>
      <w:r>
        <w:t>HFN#1</w:t>
      </w:r>
      <w:proofErr w:type="spellEnd"/>
      <w:r>
        <w:t xml:space="preserve">, </w:t>
      </w:r>
      <w:proofErr w:type="spellStart"/>
      <w:r>
        <w:t>SFN</w:t>
      </w:r>
      <w:r>
        <w:rPr>
          <w:rFonts w:hint="eastAsia"/>
        </w:rPr>
        <w:t>#</w:t>
      </w:r>
      <w:r>
        <w:t>0</w:t>
      </w:r>
      <w:proofErr w:type="spellEnd"/>
      <w:r>
        <w:rPr>
          <w:rFonts w:hint="eastAsia"/>
        </w:rPr>
        <w:t>) as</w:t>
      </w:r>
      <w:r>
        <w:t xml:space="preserve"> a start point while NW may consider the (</w:t>
      </w:r>
      <w:proofErr w:type="spellStart"/>
      <w:r>
        <w:t>HFN#2</w:t>
      </w:r>
      <w:proofErr w:type="spellEnd"/>
      <w:r>
        <w:t xml:space="preserve">, </w:t>
      </w:r>
      <w:proofErr w:type="spellStart"/>
      <w:r>
        <w:t>SFN#0</w:t>
      </w:r>
      <w:proofErr w:type="spellEnd"/>
      <w:r>
        <w:t xml:space="preserve">) as a start point, the misalignment is occurred. With this reason, the agreements is achieved in </w:t>
      </w:r>
      <w:proofErr w:type="spellStart"/>
      <w:r>
        <w:t>RAN2#110</w:t>
      </w:r>
      <w:proofErr w:type="spellEnd"/>
      <w:r>
        <w:t xml:space="preserve"> e meeting that UE continues to use the occasion of the suspended configured grant type 1 when the related UL BWP is activated.</w:t>
      </w:r>
    </w:p>
    <w:p w:rsidR="00A16371" w:rsidRDefault="00A47DA9">
      <w:pPr>
        <w:rPr>
          <w:b/>
        </w:rPr>
      </w:pPr>
      <w:r>
        <w:rPr>
          <w:b/>
        </w:rPr>
        <w:t>Observation 1</w:t>
      </w:r>
      <w:r>
        <w:rPr>
          <w:rFonts w:hint="eastAsia"/>
          <w:b/>
        </w:rPr>
        <w:t>：</w:t>
      </w:r>
      <w:r>
        <w:rPr>
          <w:rFonts w:hint="eastAsia"/>
          <w:b/>
        </w:rPr>
        <w:t>I</w:t>
      </w:r>
      <w:r>
        <w:rPr>
          <w:b/>
        </w:rPr>
        <w:t xml:space="preserve">n Rel-16, The periodicity of the configured grant is extended compare to the Rel-15 which result in the CG occasions are no longer the fixed positions in each </w:t>
      </w:r>
      <w:proofErr w:type="spellStart"/>
      <w:r>
        <w:rPr>
          <w:b/>
        </w:rPr>
        <w:t>SFN</w:t>
      </w:r>
      <w:proofErr w:type="spellEnd"/>
      <w:r>
        <w:rPr>
          <w:b/>
        </w:rPr>
        <w:t xml:space="preserve"> cycle. If UE re-calculates the CG occasion based on the </w:t>
      </w:r>
      <w:proofErr w:type="spellStart"/>
      <w:r>
        <w:rPr>
          <w:b/>
        </w:rPr>
        <w:t>SFN</w:t>
      </w:r>
      <w:proofErr w:type="spellEnd"/>
      <w:r>
        <w:rPr>
          <w:b/>
        </w:rPr>
        <w:t xml:space="preserve"> when the BWP is activated, NW and UE may have a mis-aligned understanding on the CG occasion in the case of the UE switch a BWP automatically (</w:t>
      </w:r>
      <w:proofErr w:type="spellStart"/>
      <w:r>
        <w:rPr>
          <w:b/>
        </w:rPr>
        <w:t>i.e</w:t>
      </w:r>
      <w:proofErr w:type="spellEnd"/>
      <w:r>
        <w:rPr>
          <w:b/>
        </w:rPr>
        <w:t xml:space="preserve"> RACH)</w:t>
      </w:r>
    </w:p>
    <w:p w:rsidR="00A16371" w:rsidRDefault="00A47DA9">
      <w:r>
        <w:t xml:space="preserve">For avoiding the mis-alignment between UE and NW, we clarify that the agreements achieved in </w:t>
      </w:r>
      <w:proofErr w:type="spellStart"/>
      <w:r>
        <w:t>RAN2#110</w:t>
      </w:r>
      <w:proofErr w:type="spellEnd"/>
      <w:r>
        <w:t xml:space="preserve"> </w:t>
      </w:r>
      <w:proofErr w:type="spellStart"/>
      <w:r>
        <w:t>emeeting</w:t>
      </w:r>
      <w:proofErr w:type="spellEnd"/>
      <w:r>
        <w:t xml:space="preserve"> shall be the correct UE behavior.</w:t>
      </w:r>
    </w:p>
    <w:p w:rsidR="00A16371" w:rsidRDefault="00A47DA9">
      <w:r>
        <w:rPr>
          <w:rFonts w:hint="eastAsia"/>
        </w:rPr>
        <w:t>I</w:t>
      </w:r>
      <w:r>
        <w:t xml:space="preserve">n addition, not only the BWP activation but also the </w:t>
      </w:r>
      <w:proofErr w:type="spellStart"/>
      <w:r>
        <w:t>SCG</w:t>
      </w:r>
      <w:proofErr w:type="spellEnd"/>
      <w:r>
        <w:t xml:space="preserve"> activation, </w:t>
      </w:r>
      <w:proofErr w:type="spellStart"/>
      <w:r>
        <w:t>SCell</w:t>
      </w:r>
      <w:proofErr w:type="spellEnd"/>
      <w:r>
        <w:t xml:space="preserve"> activation have the same (re)-initialize issue, see below:</w:t>
      </w:r>
    </w:p>
    <w:tbl>
      <w:tblPr>
        <w:tblStyle w:val="aff0"/>
        <w:tblW w:w="0" w:type="auto"/>
        <w:tblLook w:val="04A0" w:firstRow="1" w:lastRow="0" w:firstColumn="1" w:lastColumn="0" w:noHBand="0" w:noVBand="1"/>
      </w:tblPr>
      <w:tblGrid>
        <w:gridCol w:w="9771"/>
      </w:tblGrid>
      <w:tr w:rsidR="00A16371">
        <w:tc>
          <w:tcPr>
            <w:tcW w:w="9771" w:type="dxa"/>
          </w:tcPr>
          <w:p w:rsidR="00A16371" w:rsidRDefault="00A47DA9">
            <w:pPr>
              <w:rPr>
                <w:b/>
              </w:rPr>
            </w:pPr>
            <w:r>
              <w:rPr>
                <w:b/>
              </w:rPr>
              <w:t>5.9</w:t>
            </w:r>
            <w:r>
              <w:rPr>
                <w:b/>
              </w:rPr>
              <w:tab/>
              <w:t xml:space="preserve">Activation/Deactivation of </w:t>
            </w:r>
            <w:proofErr w:type="spellStart"/>
            <w:r>
              <w:rPr>
                <w:b/>
              </w:rPr>
              <w:t>SCells</w:t>
            </w:r>
            <w:proofErr w:type="spellEnd"/>
          </w:p>
          <w:p w:rsidR="00A16371" w:rsidRDefault="00A47DA9">
            <w:pPr>
              <w:rPr>
                <w:rFonts w:eastAsia="宋体"/>
                <w:b/>
                <w:kern w:val="0"/>
                <w:sz w:val="24"/>
              </w:rPr>
            </w:pPr>
            <w:r>
              <w:rPr>
                <w:rFonts w:eastAsia="宋体" w:hint="eastAsia"/>
                <w:b/>
                <w:kern w:val="0"/>
                <w:sz w:val="24"/>
              </w:rPr>
              <w:t>/</w:t>
            </w:r>
            <w:r>
              <w:rPr>
                <w:rFonts w:eastAsia="宋体"/>
                <w:b/>
                <w:kern w:val="0"/>
                <w:sz w:val="24"/>
              </w:rPr>
              <w:t>*omit for short*/</w:t>
            </w:r>
          </w:p>
          <w:p w:rsidR="00A16371" w:rsidRDefault="00A47DA9">
            <w:pPr>
              <w:pStyle w:val="B2"/>
              <w:ind w:left="0" w:firstLine="0"/>
              <w:rPr>
                <w:rFonts w:eastAsia="宋体"/>
                <w:sz w:val="24"/>
                <w:szCs w:val="24"/>
              </w:rPr>
            </w:pPr>
            <w:r>
              <w:t>2&gt;</w:t>
            </w:r>
            <w:r>
              <w:tab/>
              <w:t>if the active DL BWP is not the dormant BWP:</w:t>
            </w:r>
          </w:p>
          <w:p w:rsidR="00A16371" w:rsidRDefault="00A47DA9">
            <w:pPr>
              <w:pStyle w:val="B3"/>
            </w:pPr>
            <w:r>
              <w:lastRenderedPageBreak/>
              <w:t>3&gt;</w:t>
            </w:r>
            <w:r>
              <w:tab/>
            </w:r>
            <w:r>
              <w:rPr>
                <w:highlight w:val="yellow"/>
              </w:rPr>
              <w:t>(re-)initialize</w:t>
            </w:r>
            <w:r>
              <w:t xml:space="preserve"> any suspended configured uplink grants of configured grant Type 1 associated with this </w:t>
            </w:r>
            <w:proofErr w:type="spellStart"/>
            <w:r>
              <w:t>SCell</w:t>
            </w:r>
            <w:proofErr w:type="spellEnd"/>
            <w:r>
              <w:t xml:space="preserve"> according to the stored configuration, if any, and to start in the symbol according to rules in clause 5.8.2;</w:t>
            </w:r>
          </w:p>
          <w:p w:rsidR="00A16371" w:rsidRDefault="00A47DA9">
            <w:pPr>
              <w:pStyle w:val="B3"/>
            </w:pPr>
            <w:r>
              <w:t>3&gt;</w:t>
            </w:r>
            <w:r>
              <w:tab/>
              <w:t xml:space="preserve">trigger </w:t>
            </w:r>
            <w:proofErr w:type="spellStart"/>
            <w:r>
              <w:t>PHR</w:t>
            </w:r>
            <w:proofErr w:type="spellEnd"/>
            <w:r>
              <w:t xml:space="preserve"> according to clause 5.4.6.</w:t>
            </w:r>
          </w:p>
          <w:p w:rsidR="00A16371" w:rsidRDefault="00A47DA9">
            <w:pPr>
              <w:rPr>
                <w:rFonts w:eastAsia="宋体"/>
                <w:b/>
                <w:kern w:val="0"/>
                <w:sz w:val="24"/>
              </w:rPr>
            </w:pPr>
            <w:r>
              <w:rPr>
                <w:rFonts w:eastAsia="宋体" w:hint="eastAsia"/>
                <w:b/>
                <w:kern w:val="0"/>
                <w:sz w:val="24"/>
              </w:rPr>
              <w:t>/</w:t>
            </w:r>
            <w:r>
              <w:rPr>
                <w:rFonts w:eastAsia="宋体"/>
                <w:b/>
                <w:kern w:val="0"/>
                <w:sz w:val="24"/>
              </w:rPr>
              <w:t>*omit for short*/</w:t>
            </w:r>
          </w:p>
          <w:p w:rsidR="00A16371" w:rsidRDefault="00A47DA9">
            <w:pPr>
              <w:rPr>
                <w:b/>
              </w:rPr>
            </w:pPr>
            <w:r>
              <w:rPr>
                <w:b/>
              </w:rPr>
              <w:t>5.29</w:t>
            </w:r>
            <w:r>
              <w:rPr>
                <w:b/>
              </w:rPr>
              <w:tab/>
              <w:t xml:space="preserve">Activation/Deactivation of </w:t>
            </w:r>
            <w:proofErr w:type="spellStart"/>
            <w:r>
              <w:rPr>
                <w:b/>
              </w:rPr>
              <w:t>SCG</w:t>
            </w:r>
            <w:proofErr w:type="spellEnd"/>
          </w:p>
          <w:p w:rsidR="00A16371" w:rsidRDefault="00A47DA9">
            <w:pPr>
              <w:rPr>
                <w:rFonts w:eastAsia="宋体"/>
                <w:kern w:val="0"/>
                <w:sz w:val="24"/>
              </w:rPr>
            </w:pPr>
            <w:r>
              <w:t xml:space="preserve">The network may activate and deactivate the configured </w:t>
            </w:r>
            <w:proofErr w:type="spellStart"/>
            <w:r>
              <w:t>SCG</w:t>
            </w:r>
            <w:proofErr w:type="spellEnd"/>
            <w:r>
              <w:t>.</w:t>
            </w:r>
          </w:p>
          <w:p w:rsidR="00A16371" w:rsidRDefault="00A47DA9">
            <w:r>
              <w:t xml:space="preserve">The MAC entity shall for the configured </w:t>
            </w:r>
            <w:proofErr w:type="spellStart"/>
            <w:r>
              <w:t>SCG</w:t>
            </w:r>
            <w:proofErr w:type="spellEnd"/>
            <w:r>
              <w:t>:</w:t>
            </w:r>
          </w:p>
          <w:p w:rsidR="00A16371" w:rsidRDefault="00A47DA9">
            <w:pPr>
              <w:pStyle w:val="B1"/>
            </w:pPr>
            <w:r>
              <w:t>1&gt;</w:t>
            </w:r>
            <w:r>
              <w:tab/>
              <w:t xml:space="preserve">if upper layers indicate that </w:t>
            </w:r>
            <w:proofErr w:type="spellStart"/>
            <w:r>
              <w:t>SCG</w:t>
            </w:r>
            <w:proofErr w:type="spellEnd"/>
            <w:r>
              <w:t xml:space="preserve"> is activated:</w:t>
            </w:r>
          </w:p>
          <w:p w:rsidR="00A16371" w:rsidRDefault="00A47DA9">
            <w:pPr>
              <w:pStyle w:val="B2"/>
            </w:pPr>
            <w:r>
              <w:t>2&gt;</w:t>
            </w:r>
            <w:r>
              <w:tab/>
              <w:t xml:space="preserve">if </w:t>
            </w:r>
            <w:proofErr w:type="spellStart"/>
            <w:r>
              <w:rPr>
                <w:i/>
                <w:iCs/>
              </w:rPr>
              <w:t>BFI_COUNTER</w:t>
            </w:r>
            <w:proofErr w:type="spellEnd"/>
            <w:r>
              <w:t xml:space="preserve"> &gt;= </w:t>
            </w:r>
            <w:proofErr w:type="spellStart"/>
            <w:r>
              <w:rPr>
                <w:i/>
                <w:iCs/>
              </w:rPr>
              <w:t>beamFailureInstanceMaxCount</w:t>
            </w:r>
            <w:proofErr w:type="spellEnd"/>
            <w:r>
              <w:t xml:space="preserve"> for the </w:t>
            </w:r>
            <w:proofErr w:type="spellStart"/>
            <w:r>
              <w:t>PSCell</w:t>
            </w:r>
            <w:proofErr w:type="spellEnd"/>
            <w:r>
              <w:t xml:space="preserve"> or the </w:t>
            </w:r>
            <w:proofErr w:type="spellStart"/>
            <w:r>
              <w:rPr>
                <w:i/>
                <w:iCs/>
              </w:rPr>
              <w:t>timeAlignmentTimer</w:t>
            </w:r>
            <w:proofErr w:type="spellEnd"/>
            <w:r>
              <w:t xml:space="preserve"> associated with </w:t>
            </w:r>
            <w:proofErr w:type="spellStart"/>
            <w:r>
              <w:t>PTAG</w:t>
            </w:r>
            <w:proofErr w:type="spellEnd"/>
            <w:r>
              <w:t xml:space="preserve"> is not running:</w:t>
            </w:r>
          </w:p>
          <w:p w:rsidR="00A16371" w:rsidRDefault="00A47DA9">
            <w:pPr>
              <w:pStyle w:val="B3"/>
              <w:ind w:firstLine="1050"/>
            </w:pPr>
            <w:r>
              <w:t>3&gt;</w:t>
            </w:r>
            <w:r>
              <w:tab/>
              <w:t xml:space="preserve">indicate to upper layers that a Random Access Procedure (as specified in clause 5.1.1) is needed for </w:t>
            </w:r>
            <w:proofErr w:type="spellStart"/>
            <w:r>
              <w:t>SCG</w:t>
            </w:r>
            <w:proofErr w:type="spellEnd"/>
            <w:r>
              <w:t xml:space="preserve"> activation.</w:t>
            </w:r>
          </w:p>
          <w:p w:rsidR="00A16371" w:rsidRDefault="00A47DA9">
            <w:pPr>
              <w:pStyle w:val="B2"/>
            </w:pPr>
            <w:r>
              <w:t>2&gt;</w:t>
            </w:r>
            <w:r>
              <w:tab/>
              <w:t xml:space="preserve">activate the </w:t>
            </w:r>
            <w:proofErr w:type="spellStart"/>
            <w:r>
              <w:t>SCG</w:t>
            </w:r>
            <w:proofErr w:type="spellEnd"/>
            <w:r>
              <w:t xml:space="preserve"> according to the timing defined in TS 38.133 [11].</w:t>
            </w:r>
          </w:p>
          <w:p w:rsidR="00A16371" w:rsidRDefault="00A47DA9">
            <w:pPr>
              <w:pStyle w:val="B2"/>
            </w:pPr>
            <w:r>
              <w:t>2&gt;</w:t>
            </w:r>
            <w:r>
              <w:tab/>
            </w:r>
            <w:r>
              <w:rPr>
                <w:highlight w:val="yellow"/>
              </w:rPr>
              <w:t>(re-)initialize</w:t>
            </w:r>
            <w:r>
              <w:t xml:space="preserve"> any suspended configured uplink grants of configured grant Type 1 associated with this </w:t>
            </w:r>
            <w:proofErr w:type="spellStart"/>
            <w:r>
              <w:t>PSCell</w:t>
            </w:r>
            <w:proofErr w:type="spellEnd"/>
            <w:r>
              <w:t xml:space="preserve"> according to the stored configuration, if any, and to start in the symbol according to rules in clause 5.8.2.2;</w:t>
            </w:r>
          </w:p>
          <w:p w:rsidR="00A16371" w:rsidRDefault="00A47DA9">
            <w:pPr>
              <w:rPr>
                <w:rFonts w:eastAsia="宋体"/>
                <w:b/>
                <w:kern w:val="0"/>
                <w:sz w:val="24"/>
              </w:rPr>
            </w:pPr>
            <w:r>
              <w:rPr>
                <w:rFonts w:eastAsia="宋体" w:hint="eastAsia"/>
                <w:b/>
                <w:kern w:val="0"/>
                <w:sz w:val="24"/>
              </w:rPr>
              <w:t>/</w:t>
            </w:r>
            <w:r>
              <w:rPr>
                <w:rFonts w:eastAsia="宋体"/>
                <w:b/>
                <w:kern w:val="0"/>
                <w:sz w:val="24"/>
              </w:rPr>
              <w:t>*omit for short*/</w:t>
            </w:r>
          </w:p>
        </w:tc>
      </w:tr>
    </w:tbl>
    <w:p w:rsidR="00A16371" w:rsidRDefault="00A47DA9">
      <w:r>
        <w:rPr>
          <w:rFonts w:hint="eastAsia"/>
        </w:rPr>
        <w:lastRenderedPageBreak/>
        <w:t>I</w:t>
      </w:r>
      <w:r>
        <w:t xml:space="preserve">n </w:t>
      </w:r>
      <w:proofErr w:type="spellStart"/>
      <w:r>
        <w:t>RAN2#110</w:t>
      </w:r>
      <w:proofErr w:type="spellEnd"/>
      <w:r>
        <w:t xml:space="preserve"> meeting, the agreements only clarifies the UE behavior at BWP activation, the case of </w:t>
      </w:r>
      <w:proofErr w:type="spellStart"/>
      <w:r>
        <w:t>SCell</w:t>
      </w:r>
      <w:proofErr w:type="spellEnd"/>
      <w:r>
        <w:t xml:space="preserve"> activation, </w:t>
      </w:r>
      <w:proofErr w:type="spellStart"/>
      <w:r>
        <w:t>SCG</w:t>
      </w:r>
      <w:proofErr w:type="spellEnd"/>
      <w:r>
        <w:t xml:space="preserve"> activation is missing. Considering the identical wording is used for BWP activation, </w:t>
      </w:r>
      <w:proofErr w:type="spellStart"/>
      <w:r>
        <w:t>SCell</w:t>
      </w:r>
      <w:proofErr w:type="spellEnd"/>
      <w:r>
        <w:t xml:space="preserve"> activation, </w:t>
      </w:r>
      <w:proofErr w:type="spellStart"/>
      <w:r>
        <w:t>SCG</w:t>
      </w:r>
      <w:proofErr w:type="spellEnd"/>
      <w:r>
        <w:t xml:space="preserve"> activation</w:t>
      </w:r>
      <w:r w:rsidR="001E5CED">
        <w:t xml:space="preserve"> in the MAC spec</w:t>
      </w:r>
      <w:r>
        <w:t xml:space="preserve">, we understand the intention of the specification is to align UE behavior for </w:t>
      </w:r>
      <w:r w:rsidR="001E5CED">
        <w:t xml:space="preserve">all </w:t>
      </w:r>
      <w:r>
        <w:t>those cases. So we propose:</w:t>
      </w:r>
    </w:p>
    <w:p w:rsidR="00A16371" w:rsidRDefault="00A47DA9">
      <w:pPr>
        <w:rPr>
          <w:b/>
        </w:rPr>
      </w:pPr>
      <w:r>
        <w:rPr>
          <w:b/>
        </w:rPr>
        <w:t xml:space="preserve">Proposal 1: </w:t>
      </w:r>
      <w:proofErr w:type="spellStart"/>
      <w:r>
        <w:rPr>
          <w:b/>
        </w:rPr>
        <w:t>RAN2</w:t>
      </w:r>
      <w:proofErr w:type="spellEnd"/>
      <w:r>
        <w:rPr>
          <w:b/>
        </w:rPr>
        <w:t xml:space="preserve"> confirms that UE continues to use the occasions of the suspended configured grant </w:t>
      </w:r>
      <w:r>
        <w:rPr>
          <w:rFonts w:hint="eastAsia"/>
          <w:b/>
        </w:rPr>
        <w:t>T</w:t>
      </w:r>
      <w:r>
        <w:rPr>
          <w:b/>
        </w:rPr>
        <w:t xml:space="preserve">ype 1, which are initialized upon the last reception of the corresponding </w:t>
      </w:r>
      <w:r>
        <w:rPr>
          <w:rFonts w:hint="eastAsia"/>
          <w:b/>
        </w:rPr>
        <w:t>T</w:t>
      </w:r>
      <w:r>
        <w:rPr>
          <w:b/>
        </w:rPr>
        <w:t xml:space="preserve">ype 1 configured grant configuration, when the related UL BWP, </w:t>
      </w:r>
      <w:proofErr w:type="spellStart"/>
      <w:r>
        <w:rPr>
          <w:b/>
        </w:rPr>
        <w:t>SCell</w:t>
      </w:r>
      <w:proofErr w:type="spellEnd"/>
      <w:r>
        <w:rPr>
          <w:b/>
        </w:rPr>
        <w:t xml:space="preserve">, or </w:t>
      </w:r>
      <w:proofErr w:type="spellStart"/>
      <w:r>
        <w:rPr>
          <w:b/>
        </w:rPr>
        <w:t>SCG</w:t>
      </w:r>
      <w:proofErr w:type="spellEnd"/>
      <w:r>
        <w:rPr>
          <w:b/>
        </w:rPr>
        <w:t xml:space="preserve"> is activated. No specification change is needed.</w:t>
      </w:r>
    </w:p>
    <w:bookmarkEnd w:id="2"/>
    <w:p w:rsidR="00A16371" w:rsidRDefault="00A47DA9">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A16371" w:rsidRDefault="00A47DA9">
      <w:r>
        <w:t>In this contribution,</w:t>
      </w:r>
      <w:r>
        <w:rPr>
          <w:rFonts w:hint="eastAsia"/>
        </w:rPr>
        <w:t xml:space="preserve"> we discussed</w:t>
      </w:r>
      <w:r>
        <w:t xml:space="preserve"> the UE behavior on the calculation of the type 1 CG occasion at BWP/</w:t>
      </w:r>
      <w:proofErr w:type="spellStart"/>
      <w:r>
        <w:t>SCell</w:t>
      </w:r>
      <w:proofErr w:type="spellEnd"/>
      <w:r>
        <w:t>/</w:t>
      </w:r>
      <w:proofErr w:type="spellStart"/>
      <w:r>
        <w:t>SCG</w:t>
      </w:r>
      <w:proofErr w:type="spellEnd"/>
      <w:r>
        <w:t xml:space="preserve"> activation </w:t>
      </w:r>
      <w:r>
        <w:rPr>
          <w:rFonts w:hint="eastAsia"/>
        </w:rPr>
        <w:t>with the following observations and proposals:</w:t>
      </w:r>
    </w:p>
    <w:p w:rsidR="00A16371" w:rsidRDefault="00A47DA9">
      <w:pPr>
        <w:rPr>
          <w:b/>
        </w:rPr>
      </w:pPr>
      <w:r>
        <w:rPr>
          <w:b/>
        </w:rPr>
        <w:t>Observation 1</w:t>
      </w:r>
      <w:r>
        <w:rPr>
          <w:rFonts w:hint="eastAsia"/>
          <w:b/>
        </w:rPr>
        <w:t>：</w:t>
      </w:r>
      <w:r>
        <w:rPr>
          <w:rFonts w:hint="eastAsia"/>
          <w:b/>
        </w:rPr>
        <w:t>I</w:t>
      </w:r>
      <w:r>
        <w:rPr>
          <w:b/>
        </w:rPr>
        <w:t>n Rel-16, The periodicity of the configured grant is extended compare to the Rel-15 which result in the CG occasions are no lon</w:t>
      </w:r>
      <w:bookmarkStart w:id="3" w:name="_GoBack"/>
      <w:bookmarkEnd w:id="3"/>
      <w:r>
        <w:rPr>
          <w:b/>
        </w:rPr>
        <w:t xml:space="preserve">ger the fixed positions in each </w:t>
      </w:r>
      <w:proofErr w:type="spellStart"/>
      <w:r>
        <w:rPr>
          <w:b/>
        </w:rPr>
        <w:t>SFN</w:t>
      </w:r>
      <w:proofErr w:type="spellEnd"/>
      <w:r>
        <w:rPr>
          <w:b/>
        </w:rPr>
        <w:t xml:space="preserve"> cycle. If UE re-calculates the CG occasion based on the </w:t>
      </w:r>
      <w:proofErr w:type="spellStart"/>
      <w:r>
        <w:rPr>
          <w:b/>
        </w:rPr>
        <w:t>SFN</w:t>
      </w:r>
      <w:proofErr w:type="spellEnd"/>
      <w:r>
        <w:rPr>
          <w:b/>
        </w:rPr>
        <w:t xml:space="preserve"> when the BWP is activated, NW and UE may have a mis-aligned understanding on the CG occasion in the case of the UE switch a BWP automatically (</w:t>
      </w:r>
      <w:proofErr w:type="spellStart"/>
      <w:r>
        <w:rPr>
          <w:b/>
        </w:rPr>
        <w:t>i.e</w:t>
      </w:r>
      <w:proofErr w:type="spellEnd"/>
      <w:r>
        <w:rPr>
          <w:b/>
        </w:rPr>
        <w:t xml:space="preserve"> RACH).</w:t>
      </w:r>
    </w:p>
    <w:p w:rsidR="00A16371" w:rsidRDefault="00A47DA9">
      <w:pPr>
        <w:rPr>
          <w:b/>
        </w:rPr>
      </w:pPr>
      <w:r>
        <w:rPr>
          <w:b/>
        </w:rPr>
        <w:lastRenderedPageBreak/>
        <w:t xml:space="preserve">Proposal 1: </w:t>
      </w:r>
      <w:proofErr w:type="spellStart"/>
      <w:r>
        <w:rPr>
          <w:b/>
        </w:rPr>
        <w:t>RAN2</w:t>
      </w:r>
      <w:proofErr w:type="spellEnd"/>
      <w:r>
        <w:rPr>
          <w:b/>
        </w:rPr>
        <w:t xml:space="preserve"> confirms that UE continues to use the occasions of the suspended configured grant </w:t>
      </w:r>
      <w:r>
        <w:rPr>
          <w:rFonts w:hint="eastAsia"/>
          <w:b/>
        </w:rPr>
        <w:t>T</w:t>
      </w:r>
      <w:r>
        <w:rPr>
          <w:b/>
        </w:rPr>
        <w:t xml:space="preserve">ype 1, which are initialized upon the last reception of the corresponding </w:t>
      </w:r>
      <w:r>
        <w:rPr>
          <w:rFonts w:hint="eastAsia"/>
          <w:b/>
        </w:rPr>
        <w:t>T</w:t>
      </w:r>
      <w:r>
        <w:rPr>
          <w:b/>
        </w:rPr>
        <w:t xml:space="preserve">ype 1 configured grant configuration, when the related UL BWP, </w:t>
      </w:r>
      <w:proofErr w:type="spellStart"/>
      <w:r>
        <w:rPr>
          <w:b/>
        </w:rPr>
        <w:t>SCell</w:t>
      </w:r>
      <w:proofErr w:type="spellEnd"/>
      <w:r>
        <w:rPr>
          <w:b/>
        </w:rPr>
        <w:t xml:space="preserve">, or </w:t>
      </w:r>
      <w:proofErr w:type="spellStart"/>
      <w:r>
        <w:rPr>
          <w:b/>
        </w:rPr>
        <w:t>SCG</w:t>
      </w:r>
      <w:proofErr w:type="spellEnd"/>
      <w:r>
        <w:rPr>
          <w:b/>
        </w:rPr>
        <w:t xml:space="preserve"> is activated. No specification change is needed.</w:t>
      </w:r>
    </w:p>
    <w:p w:rsidR="00A16371" w:rsidRDefault="00A47DA9">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A16371" w:rsidRDefault="00A47DA9">
      <w:pPr>
        <w:rPr>
          <w:rFonts w:eastAsia="宋体"/>
          <w:kern w:val="0"/>
          <w:sz w:val="24"/>
        </w:rPr>
      </w:pPr>
      <w:r>
        <w:rPr>
          <w:sz w:val="20"/>
          <w:szCs w:val="20"/>
        </w:rPr>
        <w:t xml:space="preserve">[1] </w:t>
      </w:r>
      <w:proofErr w:type="spellStart"/>
      <w:r>
        <w:rPr>
          <w:rFonts w:ascii="Arial" w:eastAsia="Malgun Gothic" w:hAnsi="Arial" w:cs="Arial"/>
        </w:rPr>
        <w:t>R2</w:t>
      </w:r>
      <w:proofErr w:type="spellEnd"/>
      <w:r>
        <w:rPr>
          <w:rFonts w:ascii="Arial" w:eastAsia="Malgun Gothic" w:hAnsi="Arial" w:cs="Arial"/>
        </w:rPr>
        <w:t>-2006046 Report of [</w:t>
      </w:r>
      <w:proofErr w:type="spellStart"/>
      <w:r>
        <w:rPr>
          <w:rFonts w:ascii="Arial" w:eastAsia="Malgun Gothic" w:hAnsi="Arial" w:cs="Arial"/>
        </w:rPr>
        <w:t>AT110e</w:t>
      </w:r>
      <w:proofErr w:type="spellEnd"/>
      <w:r>
        <w:rPr>
          <w:rFonts w:ascii="Arial" w:eastAsia="Malgun Gothic" w:hAnsi="Arial" w:cs="Arial"/>
        </w:rPr>
        <w:t>][055][</w:t>
      </w:r>
      <w:proofErr w:type="spellStart"/>
      <w:r>
        <w:rPr>
          <w:rFonts w:ascii="Arial" w:eastAsia="Malgun Gothic" w:hAnsi="Arial" w:cs="Arial"/>
        </w:rPr>
        <w:t>IIOT</w:t>
      </w:r>
      <w:proofErr w:type="spellEnd"/>
      <w:r>
        <w:rPr>
          <w:rFonts w:ascii="Arial" w:eastAsia="Malgun Gothic" w:hAnsi="Arial" w:cs="Arial"/>
        </w:rPr>
        <w:t xml:space="preserve">] MAC: Part </w:t>
      </w:r>
      <w:proofErr w:type="spellStart"/>
      <w:r>
        <w:rPr>
          <w:rFonts w:ascii="Arial" w:eastAsia="Malgun Gothic" w:hAnsi="Arial" w:cs="Arial"/>
        </w:rPr>
        <w:t>1A</w:t>
      </w:r>
      <w:proofErr w:type="spellEnd"/>
      <w:r>
        <w:rPr>
          <w:rFonts w:ascii="Arial" w:eastAsia="Malgun Gothic" w:hAnsi="Arial" w:cs="Arial"/>
        </w:rPr>
        <w:t>, Samsung</w:t>
      </w:r>
    </w:p>
    <w:p w:rsidR="00A16371" w:rsidRDefault="00A16371">
      <w:pPr>
        <w:rPr>
          <w:sz w:val="20"/>
          <w:szCs w:val="20"/>
        </w:rPr>
      </w:pPr>
    </w:p>
    <w:sectPr w:rsidR="00A16371">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43F9" w:rsidRDefault="00DA43F9">
      <w:pPr>
        <w:spacing w:after="0" w:line="240" w:lineRule="auto"/>
      </w:pPr>
      <w:r>
        <w:separator/>
      </w:r>
    </w:p>
  </w:endnote>
  <w:endnote w:type="continuationSeparator" w:id="0">
    <w:p w:rsidR="00DA43F9" w:rsidRDefault="00DA43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371" w:rsidRDefault="00A47DA9">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A16371" w:rsidRDefault="00A16371">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371" w:rsidRDefault="00A16371">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43F9" w:rsidRDefault="00DA43F9">
      <w:pPr>
        <w:spacing w:after="0" w:line="240" w:lineRule="auto"/>
      </w:pPr>
      <w:r>
        <w:separator/>
      </w:r>
    </w:p>
  </w:footnote>
  <w:footnote w:type="continuationSeparator" w:id="0">
    <w:p w:rsidR="00DA43F9" w:rsidRDefault="00DA43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371" w:rsidRDefault="00A16371">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1396"/>
    <w:rsid w:val="0000394D"/>
    <w:rsid w:val="000055B1"/>
    <w:rsid w:val="00005B70"/>
    <w:rsid w:val="0000767C"/>
    <w:rsid w:val="000103E7"/>
    <w:rsid w:val="00012FE7"/>
    <w:rsid w:val="000130CA"/>
    <w:rsid w:val="00013F73"/>
    <w:rsid w:val="00013FAD"/>
    <w:rsid w:val="00017BA5"/>
    <w:rsid w:val="00021259"/>
    <w:rsid w:val="00021359"/>
    <w:rsid w:val="00021519"/>
    <w:rsid w:val="000223BE"/>
    <w:rsid w:val="00022B65"/>
    <w:rsid w:val="000248FC"/>
    <w:rsid w:val="00024952"/>
    <w:rsid w:val="00024E29"/>
    <w:rsid w:val="0002660A"/>
    <w:rsid w:val="00026899"/>
    <w:rsid w:val="0002698B"/>
    <w:rsid w:val="00027EEC"/>
    <w:rsid w:val="000301EA"/>
    <w:rsid w:val="0003151B"/>
    <w:rsid w:val="00035EF9"/>
    <w:rsid w:val="000377A7"/>
    <w:rsid w:val="00037973"/>
    <w:rsid w:val="000407A7"/>
    <w:rsid w:val="00040A63"/>
    <w:rsid w:val="0004105F"/>
    <w:rsid w:val="000413AA"/>
    <w:rsid w:val="000415F3"/>
    <w:rsid w:val="00042E6F"/>
    <w:rsid w:val="000432F1"/>
    <w:rsid w:val="00043923"/>
    <w:rsid w:val="00043E97"/>
    <w:rsid w:val="00043FCA"/>
    <w:rsid w:val="00045EDE"/>
    <w:rsid w:val="00046E3D"/>
    <w:rsid w:val="00047177"/>
    <w:rsid w:val="00047E0C"/>
    <w:rsid w:val="0005202F"/>
    <w:rsid w:val="000554CA"/>
    <w:rsid w:val="000563ED"/>
    <w:rsid w:val="00057D0E"/>
    <w:rsid w:val="000603D6"/>
    <w:rsid w:val="000626C6"/>
    <w:rsid w:val="00062984"/>
    <w:rsid w:val="00062D12"/>
    <w:rsid w:val="00065E88"/>
    <w:rsid w:val="00067927"/>
    <w:rsid w:val="00067BFE"/>
    <w:rsid w:val="0007093A"/>
    <w:rsid w:val="0007205B"/>
    <w:rsid w:val="00073BCE"/>
    <w:rsid w:val="00073E96"/>
    <w:rsid w:val="000755A8"/>
    <w:rsid w:val="00076832"/>
    <w:rsid w:val="00076B12"/>
    <w:rsid w:val="000804D4"/>
    <w:rsid w:val="0008122E"/>
    <w:rsid w:val="00082CAA"/>
    <w:rsid w:val="00084609"/>
    <w:rsid w:val="000875C4"/>
    <w:rsid w:val="00090624"/>
    <w:rsid w:val="0009084A"/>
    <w:rsid w:val="000915A4"/>
    <w:rsid w:val="00091B2B"/>
    <w:rsid w:val="0009278C"/>
    <w:rsid w:val="00092939"/>
    <w:rsid w:val="00092E40"/>
    <w:rsid w:val="0009607B"/>
    <w:rsid w:val="000969D7"/>
    <w:rsid w:val="00097209"/>
    <w:rsid w:val="00097368"/>
    <w:rsid w:val="0009777E"/>
    <w:rsid w:val="00097E72"/>
    <w:rsid w:val="000A204F"/>
    <w:rsid w:val="000A22DF"/>
    <w:rsid w:val="000A2A28"/>
    <w:rsid w:val="000A2D0A"/>
    <w:rsid w:val="000A3136"/>
    <w:rsid w:val="000A3A4E"/>
    <w:rsid w:val="000A53F5"/>
    <w:rsid w:val="000A5B05"/>
    <w:rsid w:val="000A6D7D"/>
    <w:rsid w:val="000B0C45"/>
    <w:rsid w:val="000B0DD7"/>
    <w:rsid w:val="000B21DA"/>
    <w:rsid w:val="000B25A2"/>
    <w:rsid w:val="000B2A5C"/>
    <w:rsid w:val="000B30A6"/>
    <w:rsid w:val="000B31AA"/>
    <w:rsid w:val="000B38F6"/>
    <w:rsid w:val="000B3AD4"/>
    <w:rsid w:val="000B4B76"/>
    <w:rsid w:val="000B65CB"/>
    <w:rsid w:val="000B780E"/>
    <w:rsid w:val="000C0995"/>
    <w:rsid w:val="000C12FB"/>
    <w:rsid w:val="000C236D"/>
    <w:rsid w:val="000C2596"/>
    <w:rsid w:val="000C2690"/>
    <w:rsid w:val="000C364E"/>
    <w:rsid w:val="000C3F9F"/>
    <w:rsid w:val="000C4222"/>
    <w:rsid w:val="000C5D4C"/>
    <w:rsid w:val="000C7A47"/>
    <w:rsid w:val="000C7F88"/>
    <w:rsid w:val="000C7FC7"/>
    <w:rsid w:val="000D18C5"/>
    <w:rsid w:val="000D2BF9"/>
    <w:rsid w:val="000D3727"/>
    <w:rsid w:val="000D3F01"/>
    <w:rsid w:val="000D4034"/>
    <w:rsid w:val="000E110A"/>
    <w:rsid w:val="000E1125"/>
    <w:rsid w:val="000E1993"/>
    <w:rsid w:val="000E3B8A"/>
    <w:rsid w:val="000E4B6E"/>
    <w:rsid w:val="000E65BC"/>
    <w:rsid w:val="000F0A7B"/>
    <w:rsid w:val="000F4CFF"/>
    <w:rsid w:val="000F5108"/>
    <w:rsid w:val="000F75F3"/>
    <w:rsid w:val="00100030"/>
    <w:rsid w:val="0010359D"/>
    <w:rsid w:val="00103DDB"/>
    <w:rsid w:val="00104E79"/>
    <w:rsid w:val="0010506F"/>
    <w:rsid w:val="00111C96"/>
    <w:rsid w:val="00111CE0"/>
    <w:rsid w:val="00111DF0"/>
    <w:rsid w:val="001135C5"/>
    <w:rsid w:val="001147C0"/>
    <w:rsid w:val="00115029"/>
    <w:rsid w:val="00115501"/>
    <w:rsid w:val="001156DF"/>
    <w:rsid w:val="00122ECC"/>
    <w:rsid w:val="00123D97"/>
    <w:rsid w:val="001253A3"/>
    <w:rsid w:val="00126145"/>
    <w:rsid w:val="0012673B"/>
    <w:rsid w:val="001277F8"/>
    <w:rsid w:val="00130DC0"/>
    <w:rsid w:val="00131F75"/>
    <w:rsid w:val="0013288E"/>
    <w:rsid w:val="00134275"/>
    <w:rsid w:val="0013534D"/>
    <w:rsid w:val="00135E30"/>
    <w:rsid w:val="00137B0E"/>
    <w:rsid w:val="00137D4E"/>
    <w:rsid w:val="001413B6"/>
    <w:rsid w:val="00141772"/>
    <w:rsid w:val="00141835"/>
    <w:rsid w:val="001453B2"/>
    <w:rsid w:val="00145A52"/>
    <w:rsid w:val="00145AFF"/>
    <w:rsid w:val="00147740"/>
    <w:rsid w:val="0015032B"/>
    <w:rsid w:val="00150BAB"/>
    <w:rsid w:val="001529AC"/>
    <w:rsid w:val="001543E5"/>
    <w:rsid w:val="00156452"/>
    <w:rsid w:val="00160A40"/>
    <w:rsid w:val="00160E4F"/>
    <w:rsid w:val="001627D9"/>
    <w:rsid w:val="00166209"/>
    <w:rsid w:val="00170C6A"/>
    <w:rsid w:val="00171FF9"/>
    <w:rsid w:val="0017245C"/>
    <w:rsid w:val="00172A27"/>
    <w:rsid w:val="00175874"/>
    <w:rsid w:val="001767E6"/>
    <w:rsid w:val="00176AC2"/>
    <w:rsid w:val="001802FB"/>
    <w:rsid w:val="001806A8"/>
    <w:rsid w:val="00180983"/>
    <w:rsid w:val="00180C90"/>
    <w:rsid w:val="0018310D"/>
    <w:rsid w:val="00184250"/>
    <w:rsid w:val="00184786"/>
    <w:rsid w:val="00187FEF"/>
    <w:rsid w:val="00190A8D"/>
    <w:rsid w:val="0019547D"/>
    <w:rsid w:val="00195E1F"/>
    <w:rsid w:val="00196645"/>
    <w:rsid w:val="00197265"/>
    <w:rsid w:val="00197997"/>
    <w:rsid w:val="001A0464"/>
    <w:rsid w:val="001A22A7"/>
    <w:rsid w:val="001A384E"/>
    <w:rsid w:val="001A4015"/>
    <w:rsid w:val="001A6AFD"/>
    <w:rsid w:val="001A74B6"/>
    <w:rsid w:val="001A75C4"/>
    <w:rsid w:val="001A7B6F"/>
    <w:rsid w:val="001A7F30"/>
    <w:rsid w:val="001B1B00"/>
    <w:rsid w:val="001B21A1"/>
    <w:rsid w:val="001B337C"/>
    <w:rsid w:val="001B50F7"/>
    <w:rsid w:val="001B5AE5"/>
    <w:rsid w:val="001B6518"/>
    <w:rsid w:val="001B7027"/>
    <w:rsid w:val="001B7C67"/>
    <w:rsid w:val="001C0CED"/>
    <w:rsid w:val="001C1105"/>
    <w:rsid w:val="001C17C6"/>
    <w:rsid w:val="001C2189"/>
    <w:rsid w:val="001C22DE"/>
    <w:rsid w:val="001C2425"/>
    <w:rsid w:val="001C2E1E"/>
    <w:rsid w:val="001C3C4C"/>
    <w:rsid w:val="001C7F10"/>
    <w:rsid w:val="001D2914"/>
    <w:rsid w:val="001D2FB0"/>
    <w:rsid w:val="001E0341"/>
    <w:rsid w:val="001E1C36"/>
    <w:rsid w:val="001E3D8C"/>
    <w:rsid w:val="001E43EF"/>
    <w:rsid w:val="001E44CD"/>
    <w:rsid w:val="001E5CED"/>
    <w:rsid w:val="001E6F40"/>
    <w:rsid w:val="001E7559"/>
    <w:rsid w:val="001F1E99"/>
    <w:rsid w:val="001F2CED"/>
    <w:rsid w:val="001F31F0"/>
    <w:rsid w:val="001F3DF5"/>
    <w:rsid w:val="001F4346"/>
    <w:rsid w:val="001F6278"/>
    <w:rsid w:val="001F7210"/>
    <w:rsid w:val="001F793C"/>
    <w:rsid w:val="00201FFE"/>
    <w:rsid w:val="00202C4B"/>
    <w:rsid w:val="002035B4"/>
    <w:rsid w:val="00203774"/>
    <w:rsid w:val="00203882"/>
    <w:rsid w:val="00203B88"/>
    <w:rsid w:val="00205321"/>
    <w:rsid w:val="00206123"/>
    <w:rsid w:val="00206380"/>
    <w:rsid w:val="002140E6"/>
    <w:rsid w:val="00214B27"/>
    <w:rsid w:val="002155FA"/>
    <w:rsid w:val="00215F12"/>
    <w:rsid w:val="002176DE"/>
    <w:rsid w:val="00220834"/>
    <w:rsid w:val="002226EE"/>
    <w:rsid w:val="00223B64"/>
    <w:rsid w:val="0023029F"/>
    <w:rsid w:val="00231281"/>
    <w:rsid w:val="00231D10"/>
    <w:rsid w:val="00231DC2"/>
    <w:rsid w:val="0023287B"/>
    <w:rsid w:val="00232A02"/>
    <w:rsid w:val="00232DDB"/>
    <w:rsid w:val="002333B7"/>
    <w:rsid w:val="002338F8"/>
    <w:rsid w:val="002339C1"/>
    <w:rsid w:val="002344F2"/>
    <w:rsid w:val="002368E4"/>
    <w:rsid w:val="00236F8F"/>
    <w:rsid w:val="00240343"/>
    <w:rsid w:val="00241832"/>
    <w:rsid w:val="00242E0D"/>
    <w:rsid w:val="00242F6B"/>
    <w:rsid w:val="00244D42"/>
    <w:rsid w:val="00245149"/>
    <w:rsid w:val="00245719"/>
    <w:rsid w:val="00246FFA"/>
    <w:rsid w:val="00247076"/>
    <w:rsid w:val="00247190"/>
    <w:rsid w:val="00247B81"/>
    <w:rsid w:val="002505CB"/>
    <w:rsid w:val="00252B94"/>
    <w:rsid w:val="002551C2"/>
    <w:rsid w:val="00255E19"/>
    <w:rsid w:val="0025653A"/>
    <w:rsid w:val="00256C2E"/>
    <w:rsid w:val="00257233"/>
    <w:rsid w:val="0025735F"/>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4D8A"/>
    <w:rsid w:val="002754D3"/>
    <w:rsid w:val="0027675D"/>
    <w:rsid w:val="00277A3B"/>
    <w:rsid w:val="00281718"/>
    <w:rsid w:val="00283B4B"/>
    <w:rsid w:val="002843AC"/>
    <w:rsid w:val="00284934"/>
    <w:rsid w:val="002854AD"/>
    <w:rsid w:val="002855D0"/>
    <w:rsid w:val="00290E18"/>
    <w:rsid w:val="00291D54"/>
    <w:rsid w:val="00293A6E"/>
    <w:rsid w:val="00296302"/>
    <w:rsid w:val="00296677"/>
    <w:rsid w:val="00297A88"/>
    <w:rsid w:val="00297F63"/>
    <w:rsid w:val="002A3FFA"/>
    <w:rsid w:val="002A43A8"/>
    <w:rsid w:val="002A4821"/>
    <w:rsid w:val="002A66AB"/>
    <w:rsid w:val="002B24A3"/>
    <w:rsid w:val="002B2BBC"/>
    <w:rsid w:val="002B351B"/>
    <w:rsid w:val="002B3C48"/>
    <w:rsid w:val="002B434C"/>
    <w:rsid w:val="002B4F1D"/>
    <w:rsid w:val="002B5D14"/>
    <w:rsid w:val="002B75CA"/>
    <w:rsid w:val="002B75E7"/>
    <w:rsid w:val="002C0864"/>
    <w:rsid w:val="002C0F12"/>
    <w:rsid w:val="002C3740"/>
    <w:rsid w:val="002C4649"/>
    <w:rsid w:val="002C6C1D"/>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E7A77"/>
    <w:rsid w:val="002F01CA"/>
    <w:rsid w:val="002F1163"/>
    <w:rsid w:val="002F12B3"/>
    <w:rsid w:val="002F242A"/>
    <w:rsid w:val="002F2924"/>
    <w:rsid w:val="002F3161"/>
    <w:rsid w:val="002F5517"/>
    <w:rsid w:val="002F74B9"/>
    <w:rsid w:val="002F7AA9"/>
    <w:rsid w:val="003031CE"/>
    <w:rsid w:val="00305358"/>
    <w:rsid w:val="003057F5"/>
    <w:rsid w:val="0030650B"/>
    <w:rsid w:val="00310C43"/>
    <w:rsid w:val="00310E73"/>
    <w:rsid w:val="003110B2"/>
    <w:rsid w:val="00312C1A"/>
    <w:rsid w:val="00312DD1"/>
    <w:rsid w:val="00313308"/>
    <w:rsid w:val="003144CA"/>
    <w:rsid w:val="003171FD"/>
    <w:rsid w:val="00321077"/>
    <w:rsid w:val="00322390"/>
    <w:rsid w:val="00322EDB"/>
    <w:rsid w:val="003248F8"/>
    <w:rsid w:val="003268BB"/>
    <w:rsid w:val="00326DC1"/>
    <w:rsid w:val="00330072"/>
    <w:rsid w:val="00330B4E"/>
    <w:rsid w:val="0033176D"/>
    <w:rsid w:val="00332713"/>
    <w:rsid w:val="0033386B"/>
    <w:rsid w:val="00333D6C"/>
    <w:rsid w:val="003347C2"/>
    <w:rsid w:val="00334858"/>
    <w:rsid w:val="00334A1D"/>
    <w:rsid w:val="003350D0"/>
    <w:rsid w:val="00335B60"/>
    <w:rsid w:val="00336046"/>
    <w:rsid w:val="003371B2"/>
    <w:rsid w:val="00340AAF"/>
    <w:rsid w:val="00342EC6"/>
    <w:rsid w:val="003436BE"/>
    <w:rsid w:val="00344979"/>
    <w:rsid w:val="00345AF6"/>
    <w:rsid w:val="00345FC0"/>
    <w:rsid w:val="003469FC"/>
    <w:rsid w:val="00347800"/>
    <w:rsid w:val="003504B5"/>
    <w:rsid w:val="00350890"/>
    <w:rsid w:val="00350B30"/>
    <w:rsid w:val="00350CCD"/>
    <w:rsid w:val="0035296C"/>
    <w:rsid w:val="003546A6"/>
    <w:rsid w:val="00354915"/>
    <w:rsid w:val="00354E6F"/>
    <w:rsid w:val="00356DDD"/>
    <w:rsid w:val="003572F6"/>
    <w:rsid w:val="003577BE"/>
    <w:rsid w:val="00362FCF"/>
    <w:rsid w:val="00363C85"/>
    <w:rsid w:val="003645A1"/>
    <w:rsid w:val="0036468F"/>
    <w:rsid w:val="00366993"/>
    <w:rsid w:val="00366B2D"/>
    <w:rsid w:val="00370E0A"/>
    <w:rsid w:val="00370E80"/>
    <w:rsid w:val="00371876"/>
    <w:rsid w:val="00372486"/>
    <w:rsid w:val="003729FB"/>
    <w:rsid w:val="00372C00"/>
    <w:rsid w:val="00373545"/>
    <w:rsid w:val="003737D0"/>
    <w:rsid w:val="00373A0F"/>
    <w:rsid w:val="00373D4E"/>
    <w:rsid w:val="003744F2"/>
    <w:rsid w:val="00374875"/>
    <w:rsid w:val="003754F5"/>
    <w:rsid w:val="0037618A"/>
    <w:rsid w:val="00377BA5"/>
    <w:rsid w:val="00381829"/>
    <w:rsid w:val="00381B58"/>
    <w:rsid w:val="00382FAE"/>
    <w:rsid w:val="003832DC"/>
    <w:rsid w:val="00384541"/>
    <w:rsid w:val="00384550"/>
    <w:rsid w:val="003850DE"/>
    <w:rsid w:val="00385A99"/>
    <w:rsid w:val="00385C87"/>
    <w:rsid w:val="00387F14"/>
    <w:rsid w:val="00391402"/>
    <w:rsid w:val="00391490"/>
    <w:rsid w:val="00391F87"/>
    <w:rsid w:val="00392573"/>
    <w:rsid w:val="00392D6D"/>
    <w:rsid w:val="00393338"/>
    <w:rsid w:val="00394FC5"/>
    <w:rsid w:val="00395FB0"/>
    <w:rsid w:val="00396191"/>
    <w:rsid w:val="00396952"/>
    <w:rsid w:val="00397C52"/>
    <w:rsid w:val="003A150D"/>
    <w:rsid w:val="003A2084"/>
    <w:rsid w:val="003A2636"/>
    <w:rsid w:val="003A2A06"/>
    <w:rsid w:val="003A3ACC"/>
    <w:rsid w:val="003A4C78"/>
    <w:rsid w:val="003A5159"/>
    <w:rsid w:val="003A552B"/>
    <w:rsid w:val="003A67A2"/>
    <w:rsid w:val="003A69A5"/>
    <w:rsid w:val="003A7F66"/>
    <w:rsid w:val="003B132E"/>
    <w:rsid w:val="003B139B"/>
    <w:rsid w:val="003B3A50"/>
    <w:rsid w:val="003B448B"/>
    <w:rsid w:val="003B47C6"/>
    <w:rsid w:val="003B671A"/>
    <w:rsid w:val="003B774C"/>
    <w:rsid w:val="003B78A0"/>
    <w:rsid w:val="003B79ED"/>
    <w:rsid w:val="003C0583"/>
    <w:rsid w:val="003C3E62"/>
    <w:rsid w:val="003C464E"/>
    <w:rsid w:val="003C5889"/>
    <w:rsid w:val="003C5B22"/>
    <w:rsid w:val="003D01E0"/>
    <w:rsid w:val="003D0EF8"/>
    <w:rsid w:val="003D0F1F"/>
    <w:rsid w:val="003D1455"/>
    <w:rsid w:val="003D2041"/>
    <w:rsid w:val="003D2AEF"/>
    <w:rsid w:val="003D2B72"/>
    <w:rsid w:val="003D2CE7"/>
    <w:rsid w:val="003D42C7"/>
    <w:rsid w:val="003D7765"/>
    <w:rsid w:val="003E1518"/>
    <w:rsid w:val="003E1A17"/>
    <w:rsid w:val="003E401D"/>
    <w:rsid w:val="003E42F6"/>
    <w:rsid w:val="003E48E7"/>
    <w:rsid w:val="003E6BF7"/>
    <w:rsid w:val="003E744C"/>
    <w:rsid w:val="003E7C95"/>
    <w:rsid w:val="003E7D68"/>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477"/>
    <w:rsid w:val="004046D6"/>
    <w:rsid w:val="00404CFB"/>
    <w:rsid w:val="004060CF"/>
    <w:rsid w:val="00406593"/>
    <w:rsid w:val="004069B2"/>
    <w:rsid w:val="00410275"/>
    <w:rsid w:val="00410408"/>
    <w:rsid w:val="00412BED"/>
    <w:rsid w:val="00412F07"/>
    <w:rsid w:val="00412FAE"/>
    <w:rsid w:val="00413229"/>
    <w:rsid w:val="00413D6F"/>
    <w:rsid w:val="00414C56"/>
    <w:rsid w:val="00415023"/>
    <w:rsid w:val="00415F0E"/>
    <w:rsid w:val="0041668A"/>
    <w:rsid w:val="004166E8"/>
    <w:rsid w:val="00421A6A"/>
    <w:rsid w:val="004227CF"/>
    <w:rsid w:val="004228A3"/>
    <w:rsid w:val="004229AC"/>
    <w:rsid w:val="00423D3B"/>
    <w:rsid w:val="004245A3"/>
    <w:rsid w:val="00424A48"/>
    <w:rsid w:val="00425276"/>
    <w:rsid w:val="004274EC"/>
    <w:rsid w:val="00427917"/>
    <w:rsid w:val="00430E42"/>
    <w:rsid w:val="0043487F"/>
    <w:rsid w:val="00436238"/>
    <w:rsid w:val="0043672A"/>
    <w:rsid w:val="00437EF1"/>
    <w:rsid w:val="00437FB4"/>
    <w:rsid w:val="00441EB5"/>
    <w:rsid w:val="004423C5"/>
    <w:rsid w:val="0044341B"/>
    <w:rsid w:val="00443D84"/>
    <w:rsid w:val="00444131"/>
    <w:rsid w:val="00444871"/>
    <w:rsid w:val="00444F7D"/>
    <w:rsid w:val="00445007"/>
    <w:rsid w:val="00446A9B"/>
    <w:rsid w:val="00452624"/>
    <w:rsid w:val="00452FA5"/>
    <w:rsid w:val="00453750"/>
    <w:rsid w:val="00456668"/>
    <w:rsid w:val="00456EC1"/>
    <w:rsid w:val="0046088D"/>
    <w:rsid w:val="00460FF4"/>
    <w:rsid w:val="00462F02"/>
    <w:rsid w:val="00466391"/>
    <w:rsid w:val="00466EDC"/>
    <w:rsid w:val="00467368"/>
    <w:rsid w:val="00467D25"/>
    <w:rsid w:val="00470697"/>
    <w:rsid w:val="004710A2"/>
    <w:rsid w:val="00471CB7"/>
    <w:rsid w:val="0047305C"/>
    <w:rsid w:val="004732EA"/>
    <w:rsid w:val="00473F2D"/>
    <w:rsid w:val="0047403A"/>
    <w:rsid w:val="00474161"/>
    <w:rsid w:val="00474953"/>
    <w:rsid w:val="00474C36"/>
    <w:rsid w:val="00475DFF"/>
    <w:rsid w:val="00475E38"/>
    <w:rsid w:val="00475F4A"/>
    <w:rsid w:val="004770A0"/>
    <w:rsid w:val="0048006F"/>
    <w:rsid w:val="004806E7"/>
    <w:rsid w:val="00481C3A"/>
    <w:rsid w:val="00482BBB"/>
    <w:rsid w:val="0048379B"/>
    <w:rsid w:val="0048421C"/>
    <w:rsid w:val="00485114"/>
    <w:rsid w:val="00485AE4"/>
    <w:rsid w:val="00486111"/>
    <w:rsid w:val="00486720"/>
    <w:rsid w:val="00487EEF"/>
    <w:rsid w:val="004908B1"/>
    <w:rsid w:val="0049176F"/>
    <w:rsid w:val="00492EA5"/>
    <w:rsid w:val="004930BF"/>
    <w:rsid w:val="00493247"/>
    <w:rsid w:val="00495239"/>
    <w:rsid w:val="004966BC"/>
    <w:rsid w:val="00497BD9"/>
    <w:rsid w:val="00497BFB"/>
    <w:rsid w:val="004A0053"/>
    <w:rsid w:val="004A209E"/>
    <w:rsid w:val="004A2687"/>
    <w:rsid w:val="004A32AB"/>
    <w:rsid w:val="004A3927"/>
    <w:rsid w:val="004A402F"/>
    <w:rsid w:val="004A54C0"/>
    <w:rsid w:val="004A7CAA"/>
    <w:rsid w:val="004B056D"/>
    <w:rsid w:val="004B12D7"/>
    <w:rsid w:val="004B14FB"/>
    <w:rsid w:val="004B2B05"/>
    <w:rsid w:val="004B2BBA"/>
    <w:rsid w:val="004B5502"/>
    <w:rsid w:val="004B71F4"/>
    <w:rsid w:val="004B76B6"/>
    <w:rsid w:val="004C0B5E"/>
    <w:rsid w:val="004C1175"/>
    <w:rsid w:val="004C16C3"/>
    <w:rsid w:val="004C16F8"/>
    <w:rsid w:val="004C355B"/>
    <w:rsid w:val="004C381A"/>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07D5"/>
    <w:rsid w:val="00501570"/>
    <w:rsid w:val="005017DA"/>
    <w:rsid w:val="00501E2B"/>
    <w:rsid w:val="00502CB5"/>
    <w:rsid w:val="0050411A"/>
    <w:rsid w:val="00505DAF"/>
    <w:rsid w:val="0050619E"/>
    <w:rsid w:val="005069E2"/>
    <w:rsid w:val="00506B0D"/>
    <w:rsid w:val="00506BCB"/>
    <w:rsid w:val="0051029C"/>
    <w:rsid w:val="00510897"/>
    <w:rsid w:val="005119F4"/>
    <w:rsid w:val="005146EB"/>
    <w:rsid w:val="00515031"/>
    <w:rsid w:val="005153FD"/>
    <w:rsid w:val="00517B6A"/>
    <w:rsid w:val="00517B8E"/>
    <w:rsid w:val="005214BE"/>
    <w:rsid w:val="005219AA"/>
    <w:rsid w:val="00522736"/>
    <w:rsid w:val="00525585"/>
    <w:rsid w:val="00525BAC"/>
    <w:rsid w:val="0052657B"/>
    <w:rsid w:val="0053222E"/>
    <w:rsid w:val="00532449"/>
    <w:rsid w:val="00534869"/>
    <w:rsid w:val="0053653D"/>
    <w:rsid w:val="005371D2"/>
    <w:rsid w:val="00537528"/>
    <w:rsid w:val="00537668"/>
    <w:rsid w:val="00542569"/>
    <w:rsid w:val="00542ED7"/>
    <w:rsid w:val="005431F1"/>
    <w:rsid w:val="00543611"/>
    <w:rsid w:val="00545A76"/>
    <w:rsid w:val="005478DE"/>
    <w:rsid w:val="005506C7"/>
    <w:rsid w:val="005514AA"/>
    <w:rsid w:val="00552C4B"/>
    <w:rsid w:val="00553234"/>
    <w:rsid w:val="00553B57"/>
    <w:rsid w:val="0055402E"/>
    <w:rsid w:val="0055689F"/>
    <w:rsid w:val="00561349"/>
    <w:rsid w:val="005657FC"/>
    <w:rsid w:val="00567054"/>
    <w:rsid w:val="00567A9A"/>
    <w:rsid w:val="00570FEC"/>
    <w:rsid w:val="00571A8C"/>
    <w:rsid w:val="0057377D"/>
    <w:rsid w:val="00577A1E"/>
    <w:rsid w:val="005815E8"/>
    <w:rsid w:val="00582433"/>
    <w:rsid w:val="00583D43"/>
    <w:rsid w:val="00585E04"/>
    <w:rsid w:val="00586D7D"/>
    <w:rsid w:val="005901D1"/>
    <w:rsid w:val="005910DD"/>
    <w:rsid w:val="00591803"/>
    <w:rsid w:val="00592AD4"/>
    <w:rsid w:val="00592E35"/>
    <w:rsid w:val="005940C1"/>
    <w:rsid w:val="0059566C"/>
    <w:rsid w:val="0059585E"/>
    <w:rsid w:val="00595E2D"/>
    <w:rsid w:val="00595EDC"/>
    <w:rsid w:val="00596A30"/>
    <w:rsid w:val="00596F8A"/>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D3608"/>
    <w:rsid w:val="005D494C"/>
    <w:rsid w:val="005D57F1"/>
    <w:rsid w:val="005D680C"/>
    <w:rsid w:val="005D75F6"/>
    <w:rsid w:val="005E06D3"/>
    <w:rsid w:val="005E27C0"/>
    <w:rsid w:val="005E37C5"/>
    <w:rsid w:val="005E4F1C"/>
    <w:rsid w:val="005E5390"/>
    <w:rsid w:val="005E5573"/>
    <w:rsid w:val="005E6596"/>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3143"/>
    <w:rsid w:val="00603239"/>
    <w:rsid w:val="006043E1"/>
    <w:rsid w:val="0060473D"/>
    <w:rsid w:val="006053DC"/>
    <w:rsid w:val="0060734B"/>
    <w:rsid w:val="00607A61"/>
    <w:rsid w:val="00607BC6"/>
    <w:rsid w:val="00611110"/>
    <w:rsid w:val="006127D4"/>
    <w:rsid w:val="00614547"/>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7ACD"/>
    <w:rsid w:val="00627CB6"/>
    <w:rsid w:val="00630383"/>
    <w:rsid w:val="006307B2"/>
    <w:rsid w:val="00630B29"/>
    <w:rsid w:val="00633DA7"/>
    <w:rsid w:val="0063407C"/>
    <w:rsid w:val="00635291"/>
    <w:rsid w:val="006357BD"/>
    <w:rsid w:val="006408DC"/>
    <w:rsid w:val="006413AD"/>
    <w:rsid w:val="00641AA5"/>
    <w:rsid w:val="00643A7A"/>
    <w:rsid w:val="0064495B"/>
    <w:rsid w:val="0064545A"/>
    <w:rsid w:val="006459C0"/>
    <w:rsid w:val="006503F8"/>
    <w:rsid w:val="00650D0F"/>
    <w:rsid w:val="00651856"/>
    <w:rsid w:val="006521E7"/>
    <w:rsid w:val="00654250"/>
    <w:rsid w:val="0065579F"/>
    <w:rsid w:val="00660910"/>
    <w:rsid w:val="006631E5"/>
    <w:rsid w:val="00670351"/>
    <w:rsid w:val="006706AA"/>
    <w:rsid w:val="006718B7"/>
    <w:rsid w:val="0067279B"/>
    <w:rsid w:val="00672AAB"/>
    <w:rsid w:val="00673154"/>
    <w:rsid w:val="006746B2"/>
    <w:rsid w:val="0067540D"/>
    <w:rsid w:val="00676131"/>
    <w:rsid w:val="00677DE5"/>
    <w:rsid w:val="0068365D"/>
    <w:rsid w:val="00684022"/>
    <w:rsid w:val="0068430C"/>
    <w:rsid w:val="00684E1F"/>
    <w:rsid w:val="00685237"/>
    <w:rsid w:val="00685541"/>
    <w:rsid w:val="006857BF"/>
    <w:rsid w:val="00687194"/>
    <w:rsid w:val="00687500"/>
    <w:rsid w:val="006879E7"/>
    <w:rsid w:val="00690BB8"/>
    <w:rsid w:val="00690E1B"/>
    <w:rsid w:val="0069144C"/>
    <w:rsid w:val="0069161A"/>
    <w:rsid w:val="0069189C"/>
    <w:rsid w:val="00691A25"/>
    <w:rsid w:val="00691D2A"/>
    <w:rsid w:val="00691E28"/>
    <w:rsid w:val="006934FA"/>
    <w:rsid w:val="00694C2E"/>
    <w:rsid w:val="006954BD"/>
    <w:rsid w:val="006976D0"/>
    <w:rsid w:val="006978B2"/>
    <w:rsid w:val="00697DD7"/>
    <w:rsid w:val="006A166F"/>
    <w:rsid w:val="006A2CC0"/>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6325"/>
    <w:rsid w:val="006C6FAC"/>
    <w:rsid w:val="006C7573"/>
    <w:rsid w:val="006C7833"/>
    <w:rsid w:val="006D0533"/>
    <w:rsid w:val="006D436D"/>
    <w:rsid w:val="006D5430"/>
    <w:rsid w:val="006D5F00"/>
    <w:rsid w:val="006D63EF"/>
    <w:rsid w:val="006D67B4"/>
    <w:rsid w:val="006D6E6B"/>
    <w:rsid w:val="006D7C19"/>
    <w:rsid w:val="006D7CA8"/>
    <w:rsid w:val="006E17AA"/>
    <w:rsid w:val="006E2FE4"/>
    <w:rsid w:val="006E36C6"/>
    <w:rsid w:val="006E3B73"/>
    <w:rsid w:val="006E5719"/>
    <w:rsid w:val="006E7570"/>
    <w:rsid w:val="006F0447"/>
    <w:rsid w:val="006F2252"/>
    <w:rsid w:val="006F259F"/>
    <w:rsid w:val="006F2D3E"/>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0218"/>
    <w:rsid w:val="00710B95"/>
    <w:rsid w:val="00711E45"/>
    <w:rsid w:val="0071634D"/>
    <w:rsid w:val="007165B5"/>
    <w:rsid w:val="007165BE"/>
    <w:rsid w:val="00717DBB"/>
    <w:rsid w:val="007200FA"/>
    <w:rsid w:val="0072288C"/>
    <w:rsid w:val="00723530"/>
    <w:rsid w:val="007244EE"/>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3B3F"/>
    <w:rsid w:val="007651F0"/>
    <w:rsid w:val="00765312"/>
    <w:rsid w:val="00765D32"/>
    <w:rsid w:val="007705A1"/>
    <w:rsid w:val="00770F43"/>
    <w:rsid w:val="00771468"/>
    <w:rsid w:val="007719AC"/>
    <w:rsid w:val="00772525"/>
    <w:rsid w:val="00773686"/>
    <w:rsid w:val="0077441A"/>
    <w:rsid w:val="00774A57"/>
    <w:rsid w:val="00776A65"/>
    <w:rsid w:val="00776AD0"/>
    <w:rsid w:val="00777989"/>
    <w:rsid w:val="00780871"/>
    <w:rsid w:val="00785CD5"/>
    <w:rsid w:val="00786576"/>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A6D86"/>
    <w:rsid w:val="007B055F"/>
    <w:rsid w:val="007B0BAC"/>
    <w:rsid w:val="007B289A"/>
    <w:rsid w:val="007B3D32"/>
    <w:rsid w:val="007B3EE9"/>
    <w:rsid w:val="007B4B41"/>
    <w:rsid w:val="007B5010"/>
    <w:rsid w:val="007B6028"/>
    <w:rsid w:val="007B64B6"/>
    <w:rsid w:val="007B745C"/>
    <w:rsid w:val="007C0BA7"/>
    <w:rsid w:val="007C33E4"/>
    <w:rsid w:val="007C41B3"/>
    <w:rsid w:val="007C44F4"/>
    <w:rsid w:val="007C524D"/>
    <w:rsid w:val="007C637D"/>
    <w:rsid w:val="007C64E6"/>
    <w:rsid w:val="007D0B81"/>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007"/>
    <w:rsid w:val="007F65F6"/>
    <w:rsid w:val="007F6A42"/>
    <w:rsid w:val="008013CA"/>
    <w:rsid w:val="008032AF"/>
    <w:rsid w:val="008056CF"/>
    <w:rsid w:val="00806C7C"/>
    <w:rsid w:val="0080728E"/>
    <w:rsid w:val="00811A11"/>
    <w:rsid w:val="00812603"/>
    <w:rsid w:val="00814945"/>
    <w:rsid w:val="00814985"/>
    <w:rsid w:val="008160BF"/>
    <w:rsid w:val="00816F96"/>
    <w:rsid w:val="00816FFC"/>
    <w:rsid w:val="008170EC"/>
    <w:rsid w:val="008175D4"/>
    <w:rsid w:val="00823AF8"/>
    <w:rsid w:val="00824F00"/>
    <w:rsid w:val="00825004"/>
    <w:rsid w:val="0082518A"/>
    <w:rsid w:val="008267CB"/>
    <w:rsid w:val="008268A7"/>
    <w:rsid w:val="00827512"/>
    <w:rsid w:val="00830AA4"/>
    <w:rsid w:val="008343B2"/>
    <w:rsid w:val="00834992"/>
    <w:rsid w:val="00835356"/>
    <w:rsid w:val="00836D5A"/>
    <w:rsid w:val="00836F3F"/>
    <w:rsid w:val="0083795A"/>
    <w:rsid w:val="00837C9F"/>
    <w:rsid w:val="00843379"/>
    <w:rsid w:val="008436F0"/>
    <w:rsid w:val="00843DAA"/>
    <w:rsid w:val="00843F40"/>
    <w:rsid w:val="00847F36"/>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243"/>
    <w:rsid w:val="00873D16"/>
    <w:rsid w:val="00873E97"/>
    <w:rsid w:val="00874735"/>
    <w:rsid w:val="008768D2"/>
    <w:rsid w:val="0087723E"/>
    <w:rsid w:val="00880248"/>
    <w:rsid w:val="00880F6C"/>
    <w:rsid w:val="008819DC"/>
    <w:rsid w:val="008855E2"/>
    <w:rsid w:val="00885E69"/>
    <w:rsid w:val="00886047"/>
    <w:rsid w:val="0088617A"/>
    <w:rsid w:val="00886521"/>
    <w:rsid w:val="00887F76"/>
    <w:rsid w:val="00890083"/>
    <w:rsid w:val="0089021E"/>
    <w:rsid w:val="00890B50"/>
    <w:rsid w:val="00891CAE"/>
    <w:rsid w:val="00891E7C"/>
    <w:rsid w:val="00891E8C"/>
    <w:rsid w:val="00892828"/>
    <w:rsid w:val="00893666"/>
    <w:rsid w:val="008937A3"/>
    <w:rsid w:val="0089509A"/>
    <w:rsid w:val="00896FB8"/>
    <w:rsid w:val="008A0087"/>
    <w:rsid w:val="008A0779"/>
    <w:rsid w:val="008A2B5F"/>
    <w:rsid w:val="008A4FE1"/>
    <w:rsid w:val="008A5E28"/>
    <w:rsid w:val="008A7884"/>
    <w:rsid w:val="008B0715"/>
    <w:rsid w:val="008B302A"/>
    <w:rsid w:val="008B4198"/>
    <w:rsid w:val="008B4609"/>
    <w:rsid w:val="008B5792"/>
    <w:rsid w:val="008B5D3A"/>
    <w:rsid w:val="008B725C"/>
    <w:rsid w:val="008C1D6D"/>
    <w:rsid w:val="008C3F98"/>
    <w:rsid w:val="008C4684"/>
    <w:rsid w:val="008C594A"/>
    <w:rsid w:val="008C5C15"/>
    <w:rsid w:val="008C6FD7"/>
    <w:rsid w:val="008D0D26"/>
    <w:rsid w:val="008D12A4"/>
    <w:rsid w:val="008D1DAC"/>
    <w:rsid w:val="008D23AF"/>
    <w:rsid w:val="008D3A05"/>
    <w:rsid w:val="008D3E0C"/>
    <w:rsid w:val="008D681A"/>
    <w:rsid w:val="008D6B1A"/>
    <w:rsid w:val="008D6D38"/>
    <w:rsid w:val="008E0617"/>
    <w:rsid w:val="008E1C51"/>
    <w:rsid w:val="008E5B71"/>
    <w:rsid w:val="008E5F8E"/>
    <w:rsid w:val="008E705E"/>
    <w:rsid w:val="008E74B4"/>
    <w:rsid w:val="008F1CB4"/>
    <w:rsid w:val="008F2453"/>
    <w:rsid w:val="008F34E9"/>
    <w:rsid w:val="008F5C53"/>
    <w:rsid w:val="009009E9"/>
    <w:rsid w:val="00901819"/>
    <w:rsid w:val="00902833"/>
    <w:rsid w:val="009039E2"/>
    <w:rsid w:val="00907162"/>
    <w:rsid w:val="0091196A"/>
    <w:rsid w:val="00911DC9"/>
    <w:rsid w:val="009123FF"/>
    <w:rsid w:val="00913985"/>
    <w:rsid w:val="009152D2"/>
    <w:rsid w:val="0091581C"/>
    <w:rsid w:val="009164CD"/>
    <w:rsid w:val="00916C40"/>
    <w:rsid w:val="00917271"/>
    <w:rsid w:val="0091740C"/>
    <w:rsid w:val="00922A9F"/>
    <w:rsid w:val="00922E86"/>
    <w:rsid w:val="009233DD"/>
    <w:rsid w:val="009233F9"/>
    <w:rsid w:val="0092343B"/>
    <w:rsid w:val="00925478"/>
    <w:rsid w:val="00925A8F"/>
    <w:rsid w:val="00925D8E"/>
    <w:rsid w:val="009269F5"/>
    <w:rsid w:val="00930CAD"/>
    <w:rsid w:val="00934ADA"/>
    <w:rsid w:val="00937547"/>
    <w:rsid w:val="009400CF"/>
    <w:rsid w:val="00940533"/>
    <w:rsid w:val="009410AE"/>
    <w:rsid w:val="009432FE"/>
    <w:rsid w:val="009438F8"/>
    <w:rsid w:val="00944414"/>
    <w:rsid w:val="00945FA9"/>
    <w:rsid w:val="0094691D"/>
    <w:rsid w:val="009523B0"/>
    <w:rsid w:val="00954F42"/>
    <w:rsid w:val="009570AD"/>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08CE"/>
    <w:rsid w:val="00971DDC"/>
    <w:rsid w:val="009755AD"/>
    <w:rsid w:val="009757E0"/>
    <w:rsid w:val="0097718E"/>
    <w:rsid w:val="00977BEA"/>
    <w:rsid w:val="009800B6"/>
    <w:rsid w:val="00985DB7"/>
    <w:rsid w:val="009861C6"/>
    <w:rsid w:val="00986B3C"/>
    <w:rsid w:val="00986D52"/>
    <w:rsid w:val="009903A8"/>
    <w:rsid w:val="00991070"/>
    <w:rsid w:val="00992DCD"/>
    <w:rsid w:val="009932A7"/>
    <w:rsid w:val="00994702"/>
    <w:rsid w:val="00996E62"/>
    <w:rsid w:val="00997875"/>
    <w:rsid w:val="00997D39"/>
    <w:rsid w:val="00997FD5"/>
    <w:rsid w:val="009A1CA8"/>
    <w:rsid w:val="009A405A"/>
    <w:rsid w:val="009A5082"/>
    <w:rsid w:val="009A5D84"/>
    <w:rsid w:val="009A618E"/>
    <w:rsid w:val="009B1188"/>
    <w:rsid w:val="009B155B"/>
    <w:rsid w:val="009B183F"/>
    <w:rsid w:val="009B1F5B"/>
    <w:rsid w:val="009B272E"/>
    <w:rsid w:val="009B3DB8"/>
    <w:rsid w:val="009B4769"/>
    <w:rsid w:val="009B54BB"/>
    <w:rsid w:val="009C2086"/>
    <w:rsid w:val="009C3006"/>
    <w:rsid w:val="009C7D32"/>
    <w:rsid w:val="009D1009"/>
    <w:rsid w:val="009D159F"/>
    <w:rsid w:val="009D2A16"/>
    <w:rsid w:val="009D2EA0"/>
    <w:rsid w:val="009D435C"/>
    <w:rsid w:val="009D4DB6"/>
    <w:rsid w:val="009D5CEC"/>
    <w:rsid w:val="009D6952"/>
    <w:rsid w:val="009D7F9A"/>
    <w:rsid w:val="009E068F"/>
    <w:rsid w:val="009E1B89"/>
    <w:rsid w:val="009E619C"/>
    <w:rsid w:val="009E6C1D"/>
    <w:rsid w:val="009E7020"/>
    <w:rsid w:val="009E7045"/>
    <w:rsid w:val="009E748B"/>
    <w:rsid w:val="009F2244"/>
    <w:rsid w:val="009F2D46"/>
    <w:rsid w:val="009F3D12"/>
    <w:rsid w:val="009F51E2"/>
    <w:rsid w:val="009F572B"/>
    <w:rsid w:val="009F7B17"/>
    <w:rsid w:val="00A03D3F"/>
    <w:rsid w:val="00A04BEB"/>
    <w:rsid w:val="00A04DE2"/>
    <w:rsid w:val="00A06515"/>
    <w:rsid w:val="00A07547"/>
    <w:rsid w:val="00A07AEA"/>
    <w:rsid w:val="00A1019A"/>
    <w:rsid w:val="00A10FE1"/>
    <w:rsid w:val="00A11A20"/>
    <w:rsid w:val="00A11DFB"/>
    <w:rsid w:val="00A11F1E"/>
    <w:rsid w:val="00A130C2"/>
    <w:rsid w:val="00A14BA5"/>
    <w:rsid w:val="00A14DED"/>
    <w:rsid w:val="00A15C80"/>
    <w:rsid w:val="00A15DA4"/>
    <w:rsid w:val="00A16371"/>
    <w:rsid w:val="00A20607"/>
    <w:rsid w:val="00A20770"/>
    <w:rsid w:val="00A20984"/>
    <w:rsid w:val="00A20D0F"/>
    <w:rsid w:val="00A2179E"/>
    <w:rsid w:val="00A22250"/>
    <w:rsid w:val="00A227FB"/>
    <w:rsid w:val="00A2304B"/>
    <w:rsid w:val="00A23621"/>
    <w:rsid w:val="00A2486B"/>
    <w:rsid w:val="00A25160"/>
    <w:rsid w:val="00A2769F"/>
    <w:rsid w:val="00A27E76"/>
    <w:rsid w:val="00A3054A"/>
    <w:rsid w:val="00A30FAD"/>
    <w:rsid w:val="00A31A13"/>
    <w:rsid w:val="00A31A7B"/>
    <w:rsid w:val="00A323D7"/>
    <w:rsid w:val="00A32701"/>
    <w:rsid w:val="00A330EB"/>
    <w:rsid w:val="00A334CC"/>
    <w:rsid w:val="00A3376B"/>
    <w:rsid w:val="00A40BA8"/>
    <w:rsid w:val="00A41929"/>
    <w:rsid w:val="00A41D1C"/>
    <w:rsid w:val="00A4230E"/>
    <w:rsid w:val="00A44BE1"/>
    <w:rsid w:val="00A4500D"/>
    <w:rsid w:val="00A46E46"/>
    <w:rsid w:val="00A47DA9"/>
    <w:rsid w:val="00A504A8"/>
    <w:rsid w:val="00A529EC"/>
    <w:rsid w:val="00A53DD7"/>
    <w:rsid w:val="00A53F5D"/>
    <w:rsid w:val="00A54281"/>
    <w:rsid w:val="00A542B8"/>
    <w:rsid w:val="00A54719"/>
    <w:rsid w:val="00A559CC"/>
    <w:rsid w:val="00A5709E"/>
    <w:rsid w:val="00A603DE"/>
    <w:rsid w:val="00A60A47"/>
    <w:rsid w:val="00A612B9"/>
    <w:rsid w:val="00A630F2"/>
    <w:rsid w:val="00A633A8"/>
    <w:rsid w:val="00A665FB"/>
    <w:rsid w:val="00A66B14"/>
    <w:rsid w:val="00A66CF8"/>
    <w:rsid w:val="00A71C52"/>
    <w:rsid w:val="00A72173"/>
    <w:rsid w:val="00A727DA"/>
    <w:rsid w:val="00A74F48"/>
    <w:rsid w:val="00A756EC"/>
    <w:rsid w:val="00A75C91"/>
    <w:rsid w:val="00A77520"/>
    <w:rsid w:val="00A77E85"/>
    <w:rsid w:val="00A815A9"/>
    <w:rsid w:val="00A81A3A"/>
    <w:rsid w:val="00A83745"/>
    <w:rsid w:val="00A83E6C"/>
    <w:rsid w:val="00A84D8D"/>
    <w:rsid w:val="00A854F8"/>
    <w:rsid w:val="00A87B0C"/>
    <w:rsid w:val="00A87D88"/>
    <w:rsid w:val="00A900AE"/>
    <w:rsid w:val="00A906EA"/>
    <w:rsid w:val="00A922D3"/>
    <w:rsid w:val="00A9330E"/>
    <w:rsid w:val="00A93FD6"/>
    <w:rsid w:val="00A9447A"/>
    <w:rsid w:val="00A95040"/>
    <w:rsid w:val="00A95088"/>
    <w:rsid w:val="00A957EB"/>
    <w:rsid w:val="00A960AC"/>
    <w:rsid w:val="00AA0E33"/>
    <w:rsid w:val="00AA21FD"/>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0472"/>
    <w:rsid w:val="00AC1E06"/>
    <w:rsid w:val="00AC4276"/>
    <w:rsid w:val="00AC464D"/>
    <w:rsid w:val="00AC51E8"/>
    <w:rsid w:val="00AC57DE"/>
    <w:rsid w:val="00AC6ACD"/>
    <w:rsid w:val="00AC7986"/>
    <w:rsid w:val="00AD06A2"/>
    <w:rsid w:val="00AD09DD"/>
    <w:rsid w:val="00AD0CA9"/>
    <w:rsid w:val="00AD1C5F"/>
    <w:rsid w:val="00AD2407"/>
    <w:rsid w:val="00AD2F9B"/>
    <w:rsid w:val="00AD3783"/>
    <w:rsid w:val="00AD5EB1"/>
    <w:rsid w:val="00AD62D8"/>
    <w:rsid w:val="00AD72C3"/>
    <w:rsid w:val="00AD77E9"/>
    <w:rsid w:val="00AE1632"/>
    <w:rsid w:val="00AE1636"/>
    <w:rsid w:val="00AE447A"/>
    <w:rsid w:val="00AE49A7"/>
    <w:rsid w:val="00AE5146"/>
    <w:rsid w:val="00AE55C5"/>
    <w:rsid w:val="00AE5A4F"/>
    <w:rsid w:val="00AE6110"/>
    <w:rsid w:val="00AE61B8"/>
    <w:rsid w:val="00AE6D4D"/>
    <w:rsid w:val="00AE7B16"/>
    <w:rsid w:val="00AF0B65"/>
    <w:rsid w:val="00AF1130"/>
    <w:rsid w:val="00AF64F7"/>
    <w:rsid w:val="00AF6F39"/>
    <w:rsid w:val="00AF7EEF"/>
    <w:rsid w:val="00B002E0"/>
    <w:rsid w:val="00B0053F"/>
    <w:rsid w:val="00B0132A"/>
    <w:rsid w:val="00B01F9C"/>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32740"/>
    <w:rsid w:val="00B353C0"/>
    <w:rsid w:val="00B37AD9"/>
    <w:rsid w:val="00B40462"/>
    <w:rsid w:val="00B405D9"/>
    <w:rsid w:val="00B41694"/>
    <w:rsid w:val="00B425D5"/>
    <w:rsid w:val="00B426BB"/>
    <w:rsid w:val="00B427B9"/>
    <w:rsid w:val="00B42907"/>
    <w:rsid w:val="00B43371"/>
    <w:rsid w:val="00B43661"/>
    <w:rsid w:val="00B44CA2"/>
    <w:rsid w:val="00B454AE"/>
    <w:rsid w:val="00B457C3"/>
    <w:rsid w:val="00B5008D"/>
    <w:rsid w:val="00B50D18"/>
    <w:rsid w:val="00B50F5F"/>
    <w:rsid w:val="00B51763"/>
    <w:rsid w:val="00B52464"/>
    <w:rsid w:val="00B52D10"/>
    <w:rsid w:val="00B53238"/>
    <w:rsid w:val="00B55CF3"/>
    <w:rsid w:val="00B55E0A"/>
    <w:rsid w:val="00B56491"/>
    <w:rsid w:val="00B5675D"/>
    <w:rsid w:val="00B65BF6"/>
    <w:rsid w:val="00B670CE"/>
    <w:rsid w:val="00B67B79"/>
    <w:rsid w:val="00B67E74"/>
    <w:rsid w:val="00B709BD"/>
    <w:rsid w:val="00B716F8"/>
    <w:rsid w:val="00B76555"/>
    <w:rsid w:val="00B82234"/>
    <w:rsid w:val="00B8229B"/>
    <w:rsid w:val="00B825B9"/>
    <w:rsid w:val="00B8283E"/>
    <w:rsid w:val="00B837AA"/>
    <w:rsid w:val="00B85E06"/>
    <w:rsid w:val="00B86EEC"/>
    <w:rsid w:val="00B87D03"/>
    <w:rsid w:val="00B87F88"/>
    <w:rsid w:val="00B90243"/>
    <w:rsid w:val="00B90824"/>
    <w:rsid w:val="00B909E8"/>
    <w:rsid w:val="00B9119E"/>
    <w:rsid w:val="00B92759"/>
    <w:rsid w:val="00B928EE"/>
    <w:rsid w:val="00B92AD5"/>
    <w:rsid w:val="00B94BA4"/>
    <w:rsid w:val="00B97DB5"/>
    <w:rsid w:val="00BA103C"/>
    <w:rsid w:val="00BA1A22"/>
    <w:rsid w:val="00BA2041"/>
    <w:rsid w:val="00BA38FB"/>
    <w:rsid w:val="00BA3BC4"/>
    <w:rsid w:val="00BA40DC"/>
    <w:rsid w:val="00BA4AB8"/>
    <w:rsid w:val="00BA6A67"/>
    <w:rsid w:val="00BB156E"/>
    <w:rsid w:val="00BB3ABA"/>
    <w:rsid w:val="00BB43AA"/>
    <w:rsid w:val="00BB4FEC"/>
    <w:rsid w:val="00BB65B1"/>
    <w:rsid w:val="00BB69D5"/>
    <w:rsid w:val="00BB6B1F"/>
    <w:rsid w:val="00BC03E1"/>
    <w:rsid w:val="00BC1A92"/>
    <w:rsid w:val="00BC4593"/>
    <w:rsid w:val="00BC637D"/>
    <w:rsid w:val="00BD05BF"/>
    <w:rsid w:val="00BD1A5F"/>
    <w:rsid w:val="00BD1C4B"/>
    <w:rsid w:val="00BD3B45"/>
    <w:rsid w:val="00BD42A9"/>
    <w:rsid w:val="00BD464A"/>
    <w:rsid w:val="00BD58EB"/>
    <w:rsid w:val="00BD6CFB"/>
    <w:rsid w:val="00BE0CF0"/>
    <w:rsid w:val="00BE28BE"/>
    <w:rsid w:val="00BE2902"/>
    <w:rsid w:val="00BE2D16"/>
    <w:rsid w:val="00BE42CB"/>
    <w:rsid w:val="00BE6162"/>
    <w:rsid w:val="00BE6680"/>
    <w:rsid w:val="00BE6936"/>
    <w:rsid w:val="00BE6C9C"/>
    <w:rsid w:val="00BE7691"/>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2C7D"/>
    <w:rsid w:val="00C04198"/>
    <w:rsid w:val="00C0490C"/>
    <w:rsid w:val="00C050E1"/>
    <w:rsid w:val="00C064FC"/>
    <w:rsid w:val="00C06749"/>
    <w:rsid w:val="00C11654"/>
    <w:rsid w:val="00C1166F"/>
    <w:rsid w:val="00C11D21"/>
    <w:rsid w:val="00C11EFC"/>
    <w:rsid w:val="00C1675F"/>
    <w:rsid w:val="00C172FB"/>
    <w:rsid w:val="00C173D3"/>
    <w:rsid w:val="00C21F2D"/>
    <w:rsid w:val="00C22A96"/>
    <w:rsid w:val="00C23439"/>
    <w:rsid w:val="00C25074"/>
    <w:rsid w:val="00C27213"/>
    <w:rsid w:val="00C278C2"/>
    <w:rsid w:val="00C32425"/>
    <w:rsid w:val="00C32A0A"/>
    <w:rsid w:val="00C33DEA"/>
    <w:rsid w:val="00C340C6"/>
    <w:rsid w:val="00C3424E"/>
    <w:rsid w:val="00C353D0"/>
    <w:rsid w:val="00C35AE1"/>
    <w:rsid w:val="00C363FA"/>
    <w:rsid w:val="00C41E55"/>
    <w:rsid w:val="00C43562"/>
    <w:rsid w:val="00C43809"/>
    <w:rsid w:val="00C45167"/>
    <w:rsid w:val="00C473CE"/>
    <w:rsid w:val="00C50168"/>
    <w:rsid w:val="00C5081C"/>
    <w:rsid w:val="00C5180C"/>
    <w:rsid w:val="00C52111"/>
    <w:rsid w:val="00C523E4"/>
    <w:rsid w:val="00C52E2D"/>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397E"/>
    <w:rsid w:val="00C84D14"/>
    <w:rsid w:val="00C91C45"/>
    <w:rsid w:val="00C9369C"/>
    <w:rsid w:val="00C93EDD"/>
    <w:rsid w:val="00C953EF"/>
    <w:rsid w:val="00C953F6"/>
    <w:rsid w:val="00C97FD3"/>
    <w:rsid w:val="00CA0363"/>
    <w:rsid w:val="00CA06A4"/>
    <w:rsid w:val="00CA1A62"/>
    <w:rsid w:val="00CA2766"/>
    <w:rsid w:val="00CA501F"/>
    <w:rsid w:val="00CA59FA"/>
    <w:rsid w:val="00CA61CF"/>
    <w:rsid w:val="00CB1749"/>
    <w:rsid w:val="00CB3A9F"/>
    <w:rsid w:val="00CB47A5"/>
    <w:rsid w:val="00CB5048"/>
    <w:rsid w:val="00CC0561"/>
    <w:rsid w:val="00CC10DA"/>
    <w:rsid w:val="00CC156D"/>
    <w:rsid w:val="00CC2A53"/>
    <w:rsid w:val="00CC58C3"/>
    <w:rsid w:val="00CC58E1"/>
    <w:rsid w:val="00CD229F"/>
    <w:rsid w:val="00CD4B35"/>
    <w:rsid w:val="00CD633A"/>
    <w:rsid w:val="00CD7A3C"/>
    <w:rsid w:val="00CE2D1F"/>
    <w:rsid w:val="00CE3B00"/>
    <w:rsid w:val="00CE52F0"/>
    <w:rsid w:val="00CE6624"/>
    <w:rsid w:val="00CE7D4B"/>
    <w:rsid w:val="00CF18A3"/>
    <w:rsid w:val="00CF356A"/>
    <w:rsid w:val="00CF494F"/>
    <w:rsid w:val="00CF4A61"/>
    <w:rsid w:val="00CF5A83"/>
    <w:rsid w:val="00CF7571"/>
    <w:rsid w:val="00D022A8"/>
    <w:rsid w:val="00D027C6"/>
    <w:rsid w:val="00D029CB"/>
    <w:rsid w:val="00D0419D"/>
    <w:rsid w:val="00D04274"/>
    <w:rsid w:val="00D05A8B"/>
    <w:rsid w:val="00D0617E"/>
    <w:rsid w:val="00D065B1"/>
    <w:rsid w:val="00D06659"/>
    <w:rsid w:val="00D0699D"/>
    <w:rsid w:val="00D076EF"/>
    <w:rsid w:val="00D10749"/>
    <w:rsid w:val="00D1447E"/>
    <w:rsid w:val="00D14F6D"/>
    <w:rsid w:val="00D164B7"/>
    <w:rsid w:val="00D1747A"/>
    <w:rsid w:val="00D17685"/>
    <w:rsid w:val="00D20231"/>
    <w:rsid w:val="00D205D0"/>
    <w:rsid w:val="00D21306"/>
    <w:rsid w:val="00D2151A"/>
    <w:rsid w:val="00D22151"/>
    <w:rsid w:val="00D22A2E"/>
    <w:rsid w:val="00D23952"/>
    <w:rsid w:val="00D240AB"/>
    <w:rsid w:val="00D25CA2"/>
    <w:rsid w:val="00D26BCB"/>
    <w:rsid w:val="00D26CC6"/>
    <w:rsid w:val="00D275C6"/>
    <w:rsid w:val="00D27639"/>
    <w:rsid w:val="00D330DC"/>
    <w:rsid w:val="00D35028"/>
    <w:rsid w:val="00D36647"/>
    <w:rsid w:val="00D369E4"/>
    <w:rsid w:val="00D41A51"/>
    <w:rsid w:val="00D42DFD"/>
    <w:rsid w:val="00D45230"/>
    <w:rsid w:val="00D45E14"/>
    <w:rsid w:val="00D47048"/>
    <w:rsid w:val="00D4755C"/>
    <w:rsid w:val="00D518C9"/>
    <w:rsid w:val="00D52834"/>
    <w:rsid w:val="00D52AEF"/>
    <w:rsid w:val="00D53782"/>
    <w:rsid w:val="00D544FE"/>
    <w:rsid w:val="00D54A77"/>
    <w:rsid w:val="00D55458"/>
    <w:rsid w:val="00D5596F"/>
    <w:rsid w:val="00D56F3F"/>
    <w:rsid w:val="00D6035C"/>
    <w:rsid w:val="00D610EE"/>
    <w:rsid w:val="00D61F13"/>
    <w:rsid w:val="00D63722"/>
    <w:rsid w:val="00D63884"/>
    <w:rsid w:val="00D645FC"/>
    <w:rsid w:val="00D667F7"/>
    <w:rsid w:val="00D672D6"/>
    <w:rsid w:val="00D679CF"/>
    <w:rsid w:val="00D67D4A"/>
    <w:rsid w:val="00D70B9D"/>
    <w:rsid w:val="00D71FF5"/>
    <w:rsid w:val="00D72B46"/>
    <w:rsid w:val="00D72C85"/>
    <w:rsid w:val="00D72F2B"/>
    <w:rsid w:val="00D73122"/>
    <w:rsid w:val="00D75D2E"/>
    <w:rsid w:val="00D76206"/>
    <w:rsid w:val="00D77173"/>
    <w:rsid w:val="00D77EEA"/>
    <w:rsid w:val="00D806A3"/>
    <w:rsid w:val="00D81BAC"/>
    <w:rsid w:val="00D82710"/>
    <w:rsid w:val="00D83149"/>
    <w:rsid w:val="00D83173"/>
    <w:rsid w:val="00D8380A"/>
    <w:rsid w:val="00D83D0C"/>
    <w:rsid w:val="00D84ABB"/>
    <w:rsid w:val="00D84E2F"/>
    <w:rsid w:val="00D85273"/>
    <w:rsid w:val="00D8560A"/>
    <w:rsid w:val="00D86AD3"/>
    <w:rsid w:val="00D90CC5"/>
    <w:rsid w:val="00D92C6A"/>
    <w:rsid w:val="00D94442"/>
    <w:rsid w:val="00D95330"/>
    <w:rsid w:val="00DA12AB"/>
    <w:rsid w:val="00DA1BB1"/>
    <w:rsid w:val="00DA43F9"/>
    <w:rsid w:val="00DA5D23"/>
    <w:rsid w:val="00DA6CCE"/>
    <w:rsid w:val="00DA7973"/>
    <w:rsid w:val="00DB3689"/>
    <w:rsid w:val="00DB36F8"/>
    <w:rsid w:val="00DB3767"/>
    <w:rsid w:val="00DB39E0"/>
    <w:rsid w:val="00DB3E2E"/>
    <w:rsid w:val="00DB637C"/>
    <w:rsid w:val="00DB7729"/>
    <w:rsid w:val="00DC2146"/>
    <w:rsid w:val="00DC22BE"/>
    <w:rsid w:val="00DC2DA7"/>
    <w:rsid w:val="00DC3F5C"/>
    <w:rsid w:val="00DC51AD"/>
    <w:rsid w:val="00DC5F43"/>
    <w:rsid w:val="00DC5F62"/>
    <w:rsid w:val="00DC7FAF"/>
    <w:rsid w:val="00DD02BA"/>
    <w:rsid w:val="00DD100B"/>
    <w:rsid w:val="00DD42F9"/>
    <w:rsid w:val="00DE05A6"/>
    <w:rsid w:val="00DE08B2"/>
    <w:rsid w:val="00DE1B4A"/>
    <w:rsid w:val="00DE2CFF"/>
    <w:rsid w:val="00DE3330"/>
    <w:rsid w:val="00DE5939"/>
    <w:rsid w:val="00DE7C83"/>
    <w:rsid w:val="00DF0868"/>
    <w:rsid w:val="00DF4CBC"/>
    <w:rsid w:val="00DF5370"/>
    <w:rsid w:val="00DF755B"/>
    <w:rsid w:val="00E0032E"/>
    <w:rsid w:val="00E0082E"/>
    <w:rsid w:val="00E008C3"/>
    <w:rsid w:val="00E0205D"/>
    <w:rsid w:val="00E03BE1"/>
    <w:rsid w:val="00E048C6"/>
    <w:rsid w:val="00E059AB"/>
    <w:rsid w:val="00E0737F"/>
    <w:rsid w:val="00E1018A"/>
    <w:rsid w:val="00E120F4"/>
    <w:rsid w:val="00E12150"/>
    <w:rsid w:val="00E12A4C"/>
    <w:rsid w:val="00E14668"/>
    <w:rsid w:val="00E153F6"/>
    <w:rsid w:val="00E15F7E"/>
    <w:rsid w:val="00E17377"/>
    <w:rsid w:val="00E173DF"/>
    <w:rsid w:val="00E20973"/>
    <w:rsid w:val="00E22984"/>
    <w:rsid w:val="00E22BB2"/>
    <w:rsid w:val="00E236AA"/>
    <w:rsid w:val="00E23F0D"/>
    <w:rsid w:val="00E24866"/>
    <w:rsid w:val="00E2780E"/>
    <w:rsid w:val="00E27FC2"/>
    <w:rsid w:val="00E31912"/>
    <w:rsid w:val="00E31B60"/>
    <w:rsid w:val="00E31D33"/>
    <w:rsid w:val="00E32531"/>
    <w:rsid w:val="00E34035"/>
    <w:rsid w:val="00E34D88"/>
    <w:rsid w:val="00E353DB"/>
    <w:rsid w:val="00E36375"/>
    <w:rsid w:val="00E37020"/>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547EE"/>
    <w:rsid w:val="00E601F7"/>
    <w:rsid w:val="00E62B3D"/>
    <w:rsid w:val="00E6315A"/>
    <w:rsid w:val="00E63986"/>
    <w:rsid w:val="00E65554"/>
    <w:rsid w:val="00E65E86"/>
    <w:rsid w:val="00E66A1D"/>
    <w:rsid w:val="00E66C3B"/>
    <w:rsid w:val="00E67A63"/>
    <w:rsid w:val="00E71B00"/>
    <w:rsid w:val="00E73C7F"/>
    <w:rsid w:val="00E740D9"/>
    <w:rsid w:val="00E81712"/>
    <w:rsid w:val="00E8224F"/>
    <w:rsid w:val="00E832E5"/>
    <w:rsid w:val="00E853FB"/>
    <w:rsid w:val="00E85E3C"/>
    <w:rsid w:val="00E86C4B"/>
    <w:rsid w:val="00E877D8"/>
    <w:rsid w:val="00E92404"/>
    <w:rsid w:val="00E94267"/>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58E0"/>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6CE"/>
    <w:rsid w:val="00EE0FF0"/>
    <w:rsid w:val="00EE28CB"/>
    <w:rsid w:val="00EE5769"/>
    <w:rsid w:val="00EE5CA6"/>
    <w:rsid w:val="00EE6916"/>
    <w:rsid w:val="00EF1335"/>
    <w:rsid w:val="00EF1557"/>
    <w:rsid w:val="00EF2495"/>
    <w:rsid w:val="00EF260A"/>
    <w:rsid w:val="00EF4AE0"/>
    <w:rsid w:val="00EF4FE8"/>
    <w:rsid w:val="00EF6DB8"/>
    <w:rsid w:val="00EF6FA1"/>
    <w:rsid w:val="00F012FF"/>
    <w:rsid w:val="00F01A21"/>
    <w:rsid w:val="00F046E9"/>
    <w:rsid w:val="00F04831"/>
    <w:rsid w:val="00F05AED"/>
    <w:rsid w:val="00F05E90"/>
    <w:rsid w:val="00F0613A"/>
    <w:rsid w:val="00F06B43"/>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505E"/>
    <w:rsid w:val="00F66A3D"/>
    <w:rsid w:val="00F66DF3"/>
    <w:rsid w:val="00F67AB2"/>
    <w:rsid w:val="00F71FBA"/>
    <w:rsid w:val="00F72FE4"/>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0374"/>
    <w:rsid w:val="00FA34B5"/>
    <w:rsid w:val="00FB0158"/>
    <w:rsid w:val="00FB06CF"/>
    <w:rsid w:val="00FB14FC"/>
    <w:rsid w:val="00FB16BC"/>
    <w:rsid w:val="00FB25A0"/>
    <w:rsid w:val="00FB2B68"/>
    <w:rsid w:val="00FB2D7C"/>
    <w:rsid w:val="00FB4F37"/>
    <w:rsid w:val="00FB5AB0"/>
    <w:rsid w:val="00FB741C"/>
    <w:rsid w:val="00FB79F1"/>
    <w:rsid w:val="00FB7E5A"/>
    <w:rsid w:val="00FC38FF"/>
    <w:rsid w:val="00FC481D"/>
    <w:rsid w:val="00FC48FD"/>
    <w:rsid w:val="00FC6851"/>
    <w:rsid w:val="00FC6E54"/>
    <w:rsid w:val="00FC7104"/>
    <w:rsid w:val="00FC7D38"/>
    <w:rsid w:val="00FD09D8"/>
    <w:rsid w:val="00FD1379"/>
    <w:rsid w:val="00FD238F"/>
    <w:rsid w:val="00FD33A2"/>
    <w:rsid w:val="00FD6206"/>
    <w:rsid w:val="00FE09E7"/>
    <w:rsid w:val="00FE2161"/>
    <w:rsid w:val="00FE34F9"/>
    <w:rsid w:val="00FE58B6"/>
    <w:rsid w:val="00FE7430"/>
    <w:rsid w:val="00FF0471"/>
    <w:rsid w:val="00FF0771"/>
    <w:rsid w:val="00FF0AAD"/>
    <w:rsid w:val="00FF29CE"/>
    <w:rsid w:val="00FF2E7C"/>
    <w:rsid w:val="00FF3280"/>
    <w:rsid w:val="00FF33F4"/>
    <w:rsid w:val="00FF3CFA"/>
    <w:rsid w:val="00FF3FC8"/>
    <w:rsid w:val="00FF5DAC"/>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2015C"/>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525262"/>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55385"/>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4E47C4"/>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64184"/>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4F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D851FE"/>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9E043A"/>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86E47"/>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A7EA1"/>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BC4B64"/>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385793"/>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4DB00E7"/>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10027"/>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6FEB5"/>
  <w15:docId w15:val="{E3B52489-F849-4379-BBB6-3D287CB2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uiPriority w:val="35"/>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uiPriority w:val="20"/>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35"/>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 w:type="paragraph" w:customStyle="1" w:styleId="13">
    <w:name w:val="正文1"/>
    <w:qFormat/>
    <w:pPr>
      <w:jc w:val="both"/>
    </w:pPr>
    <w:rPr>
      <w:kern w:val="2"/>
      <w:sz w:val="21"/>
      <w:szCs w:val="21"/>
    </w:rPr>
  </w:style>
  <w:style w:type="paragraph" w:customStyle="1" w:styleId="References">
    <w:name w:val="References"/>
    <w:basedOn w:val="a"/>
    <w:uiPriority w:val="99"/>
    <w:qFormat/>
    <w:pPr>
      <w:widowControl/>
      <w:numPr>
        <w:numId w:val="3"/>
      </w:numPr>
      <w:tabs>
        <w:tab w:val="clear" w:pos="360"/>
      </w:tabs>
      <w:overflowPunct w:val="0"/>
      <w:autoSpaceDE w:val="0"/>
      <w:autoSpaceDN w:val="0"/>
      <w:adjustRightInd w:val="0"/>
      <w:spacing w:after="80" w:line="240" w:lineRule="auto"/>
      <w:jc w:val="left"/>
      <w:textAlignment w:val="baseline"/>
    </w:pPr>
    <w:rPr>
      <w:rFonts w:eastAsia="MS Mincho"/>
      <w:kern w:val="0"/>
      <w:sz w:val="18"/>
      <w:szCs w:val="20"/>
      <w:lang w:eastAsia="en-GB"/>
    </w:rPr>
  </w:style>
  <w:style w:type="character" w:customStyle="1" w:styleId="16">
    <w:name w:val="16"/>
    <w:basedOn w:val="a0"/>
    <w:qFormat/>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Users\panidx\OneDrive%20-%20InterDigital%20Communications,%20Inc\Documents\3GPP%20RAN\TSGR2_120\Docs\R2-2212860.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5A3BD2-8446-4806-8032-FCA37DFCB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1130</Words>
  <Characters>6443</Characters>
  <Application>Microsoft Office Word</Application>
  <DocSecurity>0</DocSecurity>
  <Lines>53</Lines>
  <Paragraphs>15</Paragraphs>
  <ScaleCrop>false</ScaleCrop>
  <Company>www.zte.com.cn</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2</cp:revision>
  <cp:lastPrinted>2113-01-01T00:00:00Z</cp:lastPrinted>
  <dcterms:created xsi:type="dcterms:W3CDTF">2023-02-17T07:39:00Z</dcterms:created>
  <dcterms:modified xsi:type="dcterms:W3CDTF">2023-02-17T07:39:00Z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